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晋江市亿泰隆化纤制造有限公司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textAlignment w:val="auto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</w:rPr>
              <w:t>提供2021年“风险和机遇管控清单”未确定完成责任人。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由于未提供设备清单及电机型号，未能对国家明令淘汰的设备进行审核。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 3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未对1台空压机进行能耗测试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4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未对变压器进行能耗测试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bookmarkStart w:id="11" w:name="_GoBack"/>
            <w:bookmarkEnd w:id="11"/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  <w:sz w:val="18"/>
      </w:rPr>
      <w:t>北京国标联合认证有限公司</w:t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3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F4EF6"/>
    <w:rsid w:val="0F860544"/>
    <w:rsid w:val="10A47772"/>
    <w:rsid w:val="148802A5"/>
    <w:rsid w:val="23885D0C"/>
    <w:rsid w:val="25A77555"/>
    <w:rsid w:val="261D0933"/>
    <w:rsid w:val="290C4D7E"/>
    <w:rsid w:val="31350594"/>
    <w:rsid w:val="45285089"/>
    <w:rsid w:val="610079F6"/>
    <w:rsid w:val="6C017F20"/>
    <w:rsid w:val="75872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细黑"/>
      <w:sz w:val="24"/>
    </w:rPr>
  </w:style>
  <w:style w:type="paragraph" w:styleId="3">
    <w:name w:val="Plain Text"/>
    <w:basedOn w:val="1"/>
    <w:qFormat/>
    <w:uiPriority w:val="0"/>
    <w:pPr>
      <w:jc w:val="left"/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7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2021-12-02T01:35:03Z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