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91910" cy="9025255"/>
            <wp:effectExtent l="0" t="0" r="8890" b="4445"/>
            <wp:docPr id="1" name="图片 1" descr="fc1be65e2cff7bddeae86d3e5bccf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c1be65e2cff7bddeae86d3e5bccfc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902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-1068705</wp:posOffset>
            </wp:positionH>
            <wp:positionV relativeFrom="paragraph">
              <wp:posOffset>1715770</wp:posOffset>
            </wp:positionV>
            <wp:extent cx="8625840" cy="5253990"/>
            <wp:effectExtent l="0" t="0" r="3810" b="10160"/>
            <wp:wrapSquare wrapText="bothSides"/>
            <wp:docPr id="3" name="图片 3" descr="0814e2e23f1958c524a4b5af4923e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814e2e23f1958c524a4b5af4923e2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25840" cy="5253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pStyle w:val="2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bookmarkStart w:id="2" w:name="F勾选"/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>HACCP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晋江市亿泰隆化纤制造有限公司</w:t>
            </w:r>
            <w:bookmarkEnd w:id="9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洪朝钹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生产部</w:t>
            </w:r>
          </w:p>
          <w:p>
            <w:pPr>
              <w:jc w:val="center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2021.12.3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公司2020年5月用天然气代替煤炭，提供归一化计算，2020年5-12月份单位产品能耗为0.15kgce/kg，并将此定为2021年度的目标，2021年1-9月份公司的单位产品能耗为0.19kgce/kg。已经超过目标，公司没有进行原因分析并制定措施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0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1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 w:eastAsia="宋体" w:cs="Times New Roman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 w:eastAsia="宋体" w:cs="Times New Roman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10.1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r>
              <w:rPr>
                <w:rFonts w:hint="eastAsia" w:ascii="宋体" w:hAnsi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公司2020年5月用天然气代替煤炭，提供归一化计算，2020年5-12月份单位产品能耗为0.15kgce/kg，并将此定为2021年度的目标，2021年1-9月份公司的单位产品能耗为0.19kgce/kg。已经超过目标，公司没有进行原因分析并制定措施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  <w:bookmarkStart w:id="16" w:name="_GoBack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2021年1-9月份没有完成目标进行原因分析，并制定节能措施。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jc w:val="both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相关人员对GB/T 23331-2020 idt ISO 50001:2018标准10.1条款理解不透彻。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对相关人员进行培训，使其理解GB/T 23331-2020 idt ISO 50001:2018标准10.1条款</w:t>
            </w:r>
          </w:p>
          <w:p>
            <w:pPr>
              <w:snapToGrid w:val="0"/>
              <w:spacing w:line="280" w:lineRule="exac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的要求。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2021.12.03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经检查，已经对没有完成目标进行了分析，制定了节能措施，对相关人员进行培训，受培训人员理解了标准的要求。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纠正及纠正措施实施有效。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pStyle w:val="2"/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eastAsia="方正仿宋简体"/>
          <w:b/>
        </w:rPr>
        <w:t xml:space="preserve">        </w:t>
      </w:r>
      <w:r>
        <w:rPr>
          <w:rFonts w:hint="eastAsia" w:eastAsia="方正仿宋简体"/>
          <w:b/>
          <w:lang w:val="en-US" w:eastAsia="zh-CN"/>
        </w:rPr>
        <w:t xml:space="preserve">   </w:t>
      </w:r>
      <w:r>
        <w:rPr>
          <w:rFonts w:eastAsia="方正仿宋简体"/>
          <w:b/>
        </w:rPr>
        <w:t xml:space="preserve">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272498"/>
    <w:rsid w:val="18250276"/>
    <w:rsid w:val="406664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qFormat/>
    <w:uiPriority w:val="0"/>
    <w:pPr>
      <w:spacing w:after="120"/>
      <w:jc w:val="both"/>
    </w:pPr>
    <w:rPr>
      <w:rFonts w:ascii="Times New Roman" w:hAnsi="Times New Roman" w:eastAsia="Times New Roman" w:cs="Times New Roman"/>
      <w:color w:val="000000"/>
      <w:spacing w:val="-3"/>
      <w:sz w:val="24"/>
      <w:szCs w:val="24"/>
      <w:lang w:val="en-US" w:eastAsia="zh-CN" w:bidi="ar-SA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2021-12-04T06:14:09Z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2052-11.1.0.10667</vt:lpwstr>
  </property>
</Properties>
</file>