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1159-2021-EnMs</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544830</wp:posOffset>
            </wp:positionV>
            <wp:extent cx="1492885" cy="1501140"/>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晋江市维盛织造漂染有限公司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12"/>
      </w:pPr>
    </w:p>
    <w:p>
      <w:pPr>
        <w:pStyle w:val="12"/>
      </w:pPr>
    </w:p>
    <w:p>
      <w:pPr>
        <w:pStyle w:val="12"/>
      </w:pPr>
    </w:p>
    <w:p>
      <w:pPr>
        <w:pStyle w:val="12"/>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晋江市维盛织造漂染有限公司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晋江市深沪镇东海安开发区</w:t>
            </w:r>
            <w:bookmarkEnd w:id="6"/>
          </w:p>
        </w:tc>
        <w:tc>
          <w:tcPr>
            <w:tcW w:w="1242" w:type="dxa"/>
            <w:vMerge w:val="restart"/>
            <w:vAlign w:val="center"/>
          </w:tcPr>
          <w:p>
            <w:r>
              <w:rPr>
                <w:rFonts w:hint="eastAsia"/>
              </w:rPr>
              <w:t>邮编</w:t>
            </w:r>
          </w:p>
        </w:tc>
        <w:tc>
          <w:tcPr>
            <w:tcW w:w="1771" w:type="dxa"/>
          </w:tcPr>
          <w:p>
            <w:bookmarkStart w:id="7" w:name="注册邮编"/>
            <w:r>
              <w:t>362246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晋江市深沪镇东海安开发区</w:t>
            </w:r>
            <w:bookmarkEnd w:id="8"/>
          </w:p>
        </w:tc>
        <w:tc>
          <w:tcPr>
            <w:tcW w:w="1242" w:type="dxa"/>
            <w:vMerge w:val="continue"/>
            <w:vAlign w:val="center"/>
          </w:tcPr>
          <w:p/>
        </w:tc>
        <w:tc>
          <w:tcPr>
            <w:tcW w:w="1771" w:type="dxa"/>
          </w:tcPr>
          <w:p>
            <w:bookmarkStart w:id="9" w:name="办公邮编"/>
            <w:r>
              <w:t>362246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叶有钧</w:t>
            </w:r>
            <w:bookmarkEnd w:id="10"/>
          </w:p>
        </w:tc>
        <w:tc>
          <w:tcPr>
            <w:tcW w:w="1313" w:type="dxa"/>
            <w:vAlign w:val="center"/>
          </w:tcPr>
          <w:p>
            <w:r>
              <w:rPr>
                <w:rFonts w:hint="eastAsia"/>
              </w:rPr>
              <w:t>电话.</w:t>
            </w:r>
          </w:p>
        </w:tc>
        <w:tc>
          <w:tcPr>
            <w:tcW w:w="2180" w:type="dxa"/>
            <w:vAlign w:val="center"/>
          </w:tcPr>
          <w:p>
            <w:bookmarkStart w:id="11" w:name="联系人电话"/>
            <w:r>
              <w:t>18050889889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69" w:type="dxa"/>
            <w:vAlign w:val="center"/>
          </w:tcPr>
          <w:p>
            <w:r>
              <w:rPr>
                <w:rFonts w:hint="eastAsia"/>
              </w:rPr>
              <w:t>法人代表</w:t>
            </w:r>
          </w:p>
        </w:tc>
        <w:tc>
          <w:tcPr>
            <w:tcW w:w="1552" w:type="dxa"/>
          </w:tcPr>
          <w:p>
            <w:bookmarkStart w:id="13" w:name="法人"/>
            <w:r>
              <w:t>洪再源</w:t>
            </w:r>
            <w:bookmarkEnd w:id="13"/>
          </w:p>
        </w:tc>
        <w:tc>
          <w:tcPr>
            <w:tcW w:w="1313" w:type="dxa"/>
            <w:vAlign w:val="center"/>
          </w:tcPr>
          <w:p>
            <w:r>
              <w:rPr>
                <w:rFonts w:hint="eastAsia"/>
              </w:rPr>
              <w:t>管理者代表</w:t>
            </w:r>
          </w:p>
        </w:tc>
        <w:tc>
          <w:tcPr>
            <w:tcW w:w="2180" w:type="dxa"/>
          </w:tcPr>
          <w:p>
            <w:bookmarkStart w:id="14" w:name="管理者代表"/>
            <w:r>
              <w:t>叶有钧</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w:t>
            </w:r>
            <w:r>
              <w:rPr>
                <w:rFonts w:hint="eastAsia"/>
                <w:lang w:eastAsia="zh-CN"/>
              </w:rPr>
              <w:t>☑</w:t>
            </w:r>
            <w:r>
              <w:rPr>
                <w:rFonts w:hint="eastAsia"/>
              </w:rPr>
              <w:t>双班</w:t>
            </w:r>
            <w:r>
              <w:rPr>
                <w:rFonts w:hint="eastAsia"/>
                <w:lang w:eastAsia="zh-CN"/>
              </w:rPr>
              <w:t>□</w:t>
            </w:r>
            <w:r>
              <w:rPr>
                <w:rFonts w:hint="eastAsia"/>
              </w:rPr>
              <w:t>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56810" cy="1108075"/>
                  <wp:effectExtent l="0" t="0" r="889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56810" cy="1108075"/>
                          </a:xfrm>
                          <a:prstGeom prst="rect">
                            <a:avLst/>
                          </a:prstGeom>
                          <a:noFill/>
                          <a:ln>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8"/>
        <w:gridCol w:w="884"/>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2021年11月28日 上午至2021年11月30日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ISO50001：2018标准</w:t>
            </w:r>
          </w:p>
          <w:p>
            <w:pPr>
              <w:rPr>
                <w:rFonts w:hint="eastAsia" w:ascii="Times New Roman" w:hAnsi="Times New Roman" w:eastAsia="宋体" w:cs="Times New Roman"/>
                <w:lang w:val="en-US" w:eastAsia="zh-CN"/>
              </w:rPr>
            </w:pPr>
            <w:r>
              <w:rPr>
                <w:rFonts w:hint="eastAsia"/>
                <w:lang w:val="de-DE" w:eastAsia="zh-CN"/>
              </w:rPr>
              <w:t>☑</w:t>
            </w:r>
            <w:r>
              <w:rPr>
                <w:rFonts w:hint="eastAsia"/>
                <w:lang w:val="de-DE"/>
              </w:rPr>
              <w:t>RB/T</w:t>
            </w:r>
            <w:r>
              <w:rPr>
                <w:rFonts w:hint="eastAsia" w:ascii="Times New Roman" w:hAnsi="Times New Roman" w:eastAsia="宋体" w:cs="Times New Roman"/>
                <w:lang w:val="en-US" w:eastAsia="zh-CN"/>
              </w:rPr>
              <w:t>102-2013</w:t>
            </w:r>
            <w:r>
              <w:rPr>
                <w:rFonts w:hint="default" w:ascii="Times New Roman" w:hAnsi="Times New Roman" w:eastAsia="宋体" w:cs="Times New Roman"/>
                <w:lang w:val="en-US" w:eastAsia="zh-CN"/>
              </w:rPr>
              <w:t> 能源管理体系纺织企业认证要求</w:t>
            </w:r>
            <w:r>
              <w:rPr>
                <w:rFonts w:hint="eastAsia" w:ascii="Times New Roman" w:hAnsi="Times New Roman" w:eastAsia="宋体" w:cs="Times New Roman"/>
                <w:lang w:val="en-US" w:eastAsia="zh-CN"/>
              </w:rPr>
              <w:t>编制</w:t>
            </w:r>
          </w:p>
          <w:p>
            <w:r>
              <w:rPr>
                <w:rFonts w:hint="eastAsia"/>
                <w:lang w:val="de-DE" w:eastAsia="zh-CN"/>
              </w:rPr>
              <w:t>☑</w:t>
            </w:r>
            <w:r>
              <w:rPr>
                <w:rFonts w:hint="eastAsia"/>
                <w:lang w:val="de-DE"/>
              </w:rPr>
              <w:t>受审核方</w:t>
            </w:r>
            <w:r>
              <w:rPr>
                <w:rFonts w:hint="eastAsia"/>
              </w:rPr>
              <w:t>管理体系成文信息</w:t>
            </w:r>
            <w:r>
              <w:rPr>
                <w:rFonts w:hint="eastAsia"/>
                <w:lang w:val="en-US" w:eastAsia="zh-CN"/>
              </w:rPr>
              <w:t xml:space="preserve">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初审二阶段</w:t>
            </w:r>
            <w:bookmarkStart w:id="25" w:name="监督勾选"/>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t>晋江市深沪镇东海安开发区</w:t>
            </w:r>
            <w:r>
              <w:rPr>
                <w:rFonts w:hint="eastAsia"/>
                <w:lang w:eastAsia="zh-CN"/>
              </w:rPr>
              <w:t>（</w:t>
            </w:r>
            <w:r>
              <w:rPr>
                <w:rFonts w:hint="eastAsia"/>
                <w:lang w:val="en-US" w:eastAsia="zh-CN"/>
              </w:rPr>
              <w:t>远程审核：河北省石家庄市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8" w:type="dxa"/>
            <w:vMerge w:val="restart"/>
            <w:vAlign w:val="center"/>
          </w:tcPr>
          <w:p>
            <w:r>
              <w:rPr>
                <w:rFonts w:hint="eastAsia"/>
              </w:rPr>
              <w:t>审核范围</w:t>
            </w:r>
          </w:p>
        </w:tc>
        <w:tc>
          <w:tcPr>
            <w:tcW w:w="5500" w:type="dxa"/>
            <w:gridSpan w:val="3"/>
            <w:vMerge w:val="restart"/>
            <w:vAlign w:val="center"/>
          </w:tcPr>
          <w:p>
            <w:r>
              <w:rPr>
                <w:rFonts w:hint="eastAsia"/>
                <w:color w:val="0000FF"/>
                <w:szCs w:val="21"/>
                <w:lang w:val="en-US" w:eastAsia="zh-CN"/>
              </w:rPr>
              <w:t>染整过程所涉及的能源管理活动；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48" w:type="dxa"/>
            <w:vMerge w:val="continue"/>
            <w:vAlign w:val="center"/>
          </w:tcPr>
          <w:p/>
        </w:tc>
        <w:tc>
          <w:tcPr>
            <w:tcW w:w="5500" w:type="dxa"/>
            <w:gridSpan w:val="3"/>
            <w:vMerge w:val="continue"/>
            <w:vAlign w:val="center"/>
          </w:tcPr>
          <w:p/>
        </w:tc>
        <w:tc>
          <w:tcPr>
            <w:tcW w:w="3215" w:type="dxa"/>
            <w:vAlign w:val="center"/>
          </w:tcPr>
          <w:p>
            <w:bookmarkStart w:id="29" w:name="专业代码"/>
            <w:r>
              <w:t>2.5</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88"/>
        <w:gridCol w:w="88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88"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88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t>晋江市维盛织造漂染有限公司</w:t>
            </w:r>
            <w:r>
              <w:rPr>
                <w:rFonts w:hint="eastAsia"/>
                <w:lang w:val="en-US" w:eastAsia="zh-CN"/>
              </w:rPr>
              <w:t>/</w:t>
            </w:r>
            <w:r>
              <w:t>晋江市深沪镇东海安开发区</w:t>
            </w:r>
          </w:p>
        </w:tc>
        <w:tc>
          <w:tcPr>
            <w:tcW w:w="2267" w:type="dxa"/>
          </w:tcPr>
          <w:p>
            <w:pPr>
              <w:rPr>
                <w:lang w:val="de-DE" w:eastAsia="ja-JP"/>
              </w:rPr>
            </w:pPr>
            <w:r>
              <w:t>晋江市深沪镇东海安开发区</w:t>
            </w:r>
          </w:p>
        </w:tc>
        <w:tc>
          <w:tcPr>
            <w:tcW w:w="571" w:type="dxa"/>
            <w:vAlign w:val="center"/>
          </w:tcPr>
          <w:p>
            <w:pPr>
              <w:rPr>
                <w:rFonts w:hint="default" w:eastAsia="宋体"/>
                <w:lang w:val="en-US" w:eastAsia="zh-CN"/>
              </w:rPr>
            </w:pPr>
            <w:r>
              <w:rPr>
                <w:rFonts w:hint="eastAsia"/>
                <w:lang w:val="en-US" w:eastAsia="zh-CN"/>
              </w:rPr>
              <w:t>300</w:t>
            </w:r>
          </w:p>
        </w:tc>
        <w:tc>
          <w:tcPr>
            <w:tcW w:w="2588" w:type="dxa"/>
            <w:vAlign w:val="center"/>
          </w:tcPr>
          <w:p>
            <w:pPr>
              <w:rPr>
                <w:lang w:eastAsia="ja-JP"/>
              </w:rPr>
            </w:pPr>
            <w:r>
              <w:rPr>
                <w:rFonts w:hint="eastAsia"/>
                <w:color w:val="0000FF"/>
                <w:szCs w:val="21"/>
                <w:lang w:val="en-US" w:eastAsia="zh-CN"/>
              </w:rPr>
              <w:t>染整</w:t>
            </w:r>
            <w:bookmarkStart w:id="33" w:name="_GoBack"/>
            <w:bookmarkEnd w:id="33"/>
            <w:r>
              <w:rPr>
                <w:rFonts w:hint="eastAsia"/>
                <w:color w:val="0000FF"/>
                <w:szCs w:val="21"/>
                <w:lang w:val="en-US" w:eastAsia="zh-CN"/>
              </w:rPr>
              <w:t>过程所涉及的能源管理活动；</w:t>
            </w:r>
          </w:p>
        </w:tc>
        <w:tc>
          <w:tcPr>
            <w:tcW w:w="884" w:type="dxa"/>
            <w:vAlign w:val="center"/>
          </w:tcPr>
          <w:p>
            <w:pPr>
              <w:rPr>
                <w:rFonts w:hint="eastAsia"/>
                <w:lang w:val="en-US" w:eastAsia="zh-CN"/>
              </w:rPr>
            </w:pPr>
            <w:r>
              <w:rPr>
                <w:rFonts w:hint="eastAsia"/>
                <w:lang w:val="en-US" w:eastAsia="zh-CN"/>
              </w:rPr>
              <w:t>GB/T23331-</w:t>
            </w:r>
          </w:p>
          <w:p>
            <w:pPr>
              <w:rPr>
                <w:rFonts w:hint="default" w:eastAsia="宋体"/>
                <w:lang w:val="en-US" w:eastAsia="zh-CN"/>
              </w:rPr>
            </w:pPr>
            <w:r>
              <w:rPr>
                <w:rFonts w:hint="eastAsia"/>
                <w:lang w:val="en-US" w:eastAsia="zh-CN"/>
              </w:rPr>
              <w:t>2020</w:t>
            </w: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李丽英</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2020-N1EnMS-3021820</w:t>
            </w:r>
          </w:p>
        </w:tc>
        <w:tc>
          <w:tcPr>
            <w:tcW w:w="2179" w:type="dxa"/>
            <w:vAlign w:val="center"/>
          </w:tcPr>
          <w:p>
            <w:pPr>
              <w:rPr>
                <w:rFonts w:ascii="Times New Roman" w:hAnsi="Times New Roman" w:eastAsia="宋体" w:cs="Times New Roman"/>
                <w:kern w:val="2"/>
                <w:sz w:val="21"/>
                <w:szCs w:val="24"/>
                <w:lang w:val="en-US" w:eastAsia="zh-CN" w:bidi="ar-SA"/>
              </w:rP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施少雄</w:t>
            </w:r>
          </w:p>
        </w:tc>
        <w:tc>
          <w:tcPr>
            <w:tcW w:w="1089" w:type="dxa"/>
            <w:vAlign w:val="center"/>
          </w:tcPr>
          <w:p>
            <w:r>
              <w:t>组员</w:t>
            </w:r>
          </w:p>
        </w:tc>
        <w:tc>
          <w:tcPr>
            <w:tcW w:w="711" w:type="dxa"/>
            <w:vAlign w:val="center"/>
          </w:tcPr>
          <w:p>
            <w:r>
              <w:t>男</w:t>
            </w:r>
          </w:p>
        </w:tc>
        <w:tc>
          <w:tcPr>
            <w:tcW w:w="3870" w:type="dxa"/>
            <w:vAlign w:val="center"/>
          </w:tcPr>
          <w:p>
            <w:r>
              <w:t>ISC-JSZJ-430</w:t>
            </w:r>
          </w:p>
          <w:p>
            <w:r>
              <w:t>晋江市佳福化纤实业有限公司</w:t>
            </w:r>
          </w:p>
        </w:tc>
        <w:tc>
          <w:tcPr>
            <w:tcW w:w="2179" w:type="dxa"/>
            <w:vAlign w:val="center"/>
          </w:tcPr>
          <w:p>
            <w:r>
              <w:t>2.5</w:t>
            </w:r>
          </w:p>
        </w:tc>
      </w:tr>
    </w:tbl>
    <w:p/>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r>
        <w:rPr>
          <w:rFonts w:hint="eastAsia"/>
          <w:lang w:eastAsia="zh-CN"/>
        </w:rPr>
        <w:t>☑</w:t>
      </w:r>
      <w:r>
        <w:rPr>
          <w:rFonts w:hint="eastAsia"/>
        </w:rPr>
        <w:t>EnMS□FSMS□HACCP的附件）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rPr>
      </w:pPr>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6"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1" locked="0" layoutInCell="1" allowOverlap="1">
                  <wp:simplePos x="0" y="0"/>
                  <wp:positionH relativeFrom="column">
                    <wp:posOffset>69215</wp:posOffset>
                  </wp:positionH>
                  <wp:positionV relativeFrom="paragraph">
                    <wp:posOffset>26035</wp:posOffset>
                  </wp:positionV>
                  <wp:extent cx="652145" cy="455295"/>
                  <wp:effectExtent l="0" t="0" r="8255" b="1905"/>
                  <wp:wrapTight wrapText="bothSides">
                    <wp:wrapPolygon>
                      <wp:start x="0" y="0"/>
                      <wp:lineTo x="0" y="21088"/>
                      <wp:lineTo x="21032" y="21088"/>
                      <wp:lineTo x="21032"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lum contrast="84000"/>
                          </a:blip>
                          <a:stretch>
                            <a:fillRect/>
                          </a:stretch>
                        </pic:blipFill>
                        <pic:spPr>
                          <a:xfrm>
                            <a:off x="2506980" y="5412105"/>
                            <a:ext cx="652145" cy="455295"/>
                          </a:xfrm>
                          <a:prstGeom prst="rect">
                            <a:avLst/>
                          </a:prstGeom>
                          <a:solidFill>
                            <a:srgbClr val="9BBB59">
                              <a:alpha val="56000"/>
                            </a:srgbClr>
                          </a:solidFill>
                          <a:ln>
                            <a:noFill/>
                          </a:ln>
                          <a:effectLst>
                            <a:outerShdw algn="ctr" rotWithShape="0">
                              <a:srgbClr val="808080"/>
                            </a:outerShdw>
                          </a:effectLst>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2021.11.30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(若不是</w:t>
      </w:r>
      <w:r>
        <w:rPr>
          <w:rFonts w:hint="eastAsia"/>
        </w:rPr>
        <w:t>GB/T 23331-2020/</w:t>
      </w:r>
      <w:r>
        <w:t>ISO</w:t>
      </w:r>
      <w:r>
        <w:rPr>
          <w:rFonts w:hint="eastAsia"/>
        </w:rPr>
        <w:t>50</w:t>
      </w:r>
      <w:r>
        <w:t>001:201</w:t>
      </w:r>
      <w:r>
        <w:rPr>
          <w:rFonts w:hint="eastAsia"/>
        </w:rPr>
        <w:t>8</w:t>
      </w:r>
      <w:r>
        <w:t>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EnMS体系建立以来□定期（近一年）□其他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rPr>
                      <w:rFonts w:hint="eastAsia"/>
                    </w:rPr>
                    <w:t>活动、产品和服务</w:t>
                  </w:r>
                  <w:r>
                    <w:rPr>
                      <w:rFonts w:hint="eastAsia"/>
                      <w:lang w:eastAsia="zh-CN"/>
                    </w:rPr>
                    <w:t>☑</w:t>
                  </w:r>
                  <w:r>
                    <w:rPr>
                      <w:rFonts w:hint="eastAsia"/>
                    </w:rPr>
                    <w:t>战略方向□其他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遵守相关的法律法规、节能减排；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设备管理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节约资源□满足限额要求</w:t>
            </w:r>
            <w:r>
              <w:rPr>
                <w:rFonts w:hint="eastAsia"/>
                <w:lang w:eastAsia="zh-CN"/>
              </w:rPr>
              <w:t>☑</w:t>
            </w:r>
            <w:r>
              <w:rPr>
                <w:rFonts w:hint="eastAsia"/>
              </w:rPr>
              <w:t>主要用能设备管理</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□生产/服务过程□能效监测□设备维修□人员培训□其他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keepNext w:val="0"/>
              <w:keepLines w:val="0"/>
              <w:pageBreakBefore w:val="0"/>
              <w:kinsoku/>
              <w:wordWrap/>
              <w:overflowPunct/>
              <w:topLinePunct w:val="0"/>
              <w:bidi w:val="0"/>
              <w:snapToGrid/>
              <w:spacing w:line="360" w:lineRule="auto"/>
              <w:textAlignment w:val="auto"/>
              <w:rPr>
                <w:rFonts w:hint="eastAsia" w:ascii="Times New Roman" w:hAnsi="Times New Roman" w:eastAsia="宋体" w:cs="Times New Roman"/>
              </w:rPr>
            </w:pPr>
            <w:r>
              <w:rPr>
                <w:rFonts w:hint="eastAsia"/>
              </w:rPr>
              <w:t>最高管理者制定了文件化的管理体系方针：</w:t>
            </w:r>
            <w:r>
              <w:rPr>
                <w:rFonts w:hint="eastAsia" w:ascii="Times New Roman" w:hAnsi="Times New Roman" w:eastAsia="宋体" w:cs="Times New Roman"/>
              </w:rPr>
              <w:t>遵守法规 清洁生产</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节能降耗</w:t>
            </w:r>
            <w:r>
              <w:rPr>
                <w:rFonts w:hint="eastAsia" w:ascii="Times New Roman" w:hAnsi="Times New Roman" w:eastAsia="宋体" w:cs="Times New Roman"/>
              </w:rPr>
              <w:t xml:space="preserve"> 创新改造</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能耗限额 持续改进；</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EnMS的主管部门是——</w:t>
            </w:r>
            <w:r>
              <w:rPr>
                <w:rFonts w:hint="eastAsia"/>
                <w:lang w:eastAsia="zh-CN"/>
              </w:rPr>
              <w:t>☑</w:t>
            </w:r>
            <w:r>
              <w:rPr>
                <w:rFonts w:hint="eastAsia"/>
              </w:rPr>
              <w:t>能源管理团队</w:t>
            </w:r>
            <w:r>
              <w:rPr>
                <w:rFonts w:hint="eastAsia"/>
                <w:lang w:eastAsia="zh-CN"/>
              </w:rPr>
              <w:t>☑</w:t>
            </w:r>
            <w:r>
              <w:rPr>
                <w:rFonts w:hint="eastAsia"/>
                <w:lang w:val="en-US" w:eastAsia="zh-CN"/>
              </w:rPr>
              <w:t>生产部</w:t>
            </w:r>
          </w:p>
          <w:p>
            <w:pPr>
              <w:shd w:val="clear" w:color="auto" w:fill="EBF1DE" w:themeFill="accent3" w:themeFillTint="32"/>
            </w:pPr>
            <w:r>
              <w:rPr>
                <w:rFonts w:hint="eastAsia"/>
              </w:rPr>
              <w:t>能源管理团队负责人（管理者代表）是——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在策划能源管理体系时，组织确定了需要应对的风险和机遇及应对这些风险和机遇的措施；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停电的风险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制定应急预案</w:t>
                  </w:r>
                </w:p>
              </w:tc>
              <w:tc>
                <w:tcPr>
                  <w:tcW w:w="1717" w:type="dxa"/>
                </w:tcPr>
                <w:p>
                  <w:pPr>
                    <w:shd w:val="clear" w:color="auto" w:fill="EBF1DE" w:themeFill="accent3" w:themeFillTint="32"/>
                    <w:rPr>
                      <w:rFonts w:hint="eastAsia"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eastAsia="宋体"/>
                      <w:lang w:val="en-US" w:eastAsia="zh-CN"/>
                    </w:rPr>
                    <w:t>蒸汽供应的风险</w:t>
                  </w:r>
                </w:p>
              </w:tc>
              <w:tc>
                <w:tcPr>
                  <w:tcW w:w="3965" w:type="dxa"/>
                </w:tcPr>
                <w:p>
                  <w:pPr>
                    <w:shd w:val="clear" w:color="auto" w:fill="EBF1DE" w:themeFill="accent3" w:themeFillTint="32"/>
                    <w:rPr>
                      <w:rFonts w:hint="default" w:eastAsia="宋体"/>
                      <w:lang w:val="en-US" w:eastAsia="zh-CN"/>
                    </w:rPr>
                  </w:pPr>
                  <w:r>
                    <w:rPr>
                      <w:rFonts w:hint="eastAsia" w:eastAsia="宋体"/>
                      <w:lang w:val="en-US" w:eastAsia="zh-CN"/>
                    </w:rPr>
                    <w:t>与蒸汽供应商签订长期合同</w:t>
                  </w:r>
                </w:p>
              </w:tc>
              <w:tc>
                <w:tcPr>
                  <w:tcW w:w="1717" w:type="dxa"/>
                </w:tcPr>
                <w:p>
                  <w:pPr>
                    <w:shd w:val="clear" w:color="auto" w:fill="EBF1DE" w:themeFill="accent3" w:themeFillTint="32"/>
                    <w:rPr>
                      <w:rFonts w:hint="default" w:eastAsia="宋体"/>
                      <w:lang w:val="en-US" w:eastAsia="zh-CN"/>
                    </w:rPr>
                  </w:pPr>
                  <w:r>
                    <w:rPr>
                      <w:rFonts w:hint="eastAsia" w:eastAsia="宋体"/>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lang w:eastAsia="zh-CN"/>
              </w:rPr>
              <w:t>☑</w:t>
            </w:r>
            <w:r>
              <w:rPr>
                <w:rFonts w:hint="eastAsia"/>
              </w:rPr>
              <w:t>蒸汽</w:t>
            </w:r>
            <w:r>
              <w:rPr>
                <w:rFonts w:hint="eastAsia"/>
                <w:lang w:eastAsia="zh-CN"/>
              </w:rPr>
              <w:t>□</w:t>
            </w:r>
            <w:r>
              <w:rPr>
                <w:rFonts w:hint="eastAsia"/>
              </w:rPr>
              <w:t>天然气□燃料油□燃料气</w:t>
            </w:r>
            <w:r>
              <w:rPr>
                <w:rFonts w:hint="eastAsia"/>
                <w:lang w:eastAsia="zh-CN"/>
              </w:rPr>
              <w:t>☑</w:t>
            </w:r>
            <w:r>
              <w:rPr>
                <w:rFonts w:hint="eastAsia"/>
              </w:rPr>
              <w:t>电力□氮气□风</w:t>
            </w:r>
            <w:r>
              <w:rPr>
                <w:rFonts w:hint="eastAsia"/>
                <w:lang w:eastAsia="zh-CN"/>
              </w:rPr>
              <w:t>☑</w:t>
            </w:r>
            <w:r>
              <w:rPr>
                <w:rFonts w:hint="eastAsia"/>
              </w:rPr>
              <w:t>新鲜水□各种品质水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单位产品综合能耗□能源消费总量□单位产品蒸汽消耗□单位产品燃料气消耗□加热炉热效率□其他</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使用能源评审的信息，并考虑适合的时间段，建立能源基准。</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根据企业活动的性质，归一化可以是简单的调整，或者是更加复杂的过程。</w:t>
            </w:r>
          </w:p>
          <w:p>
            <w:pPr>
              <w:jc w:val="left"/>
              <w:rPr>
                <w:rFonts w:asciiTheme="majorEastAsia" w:hAnsiTheme="majorEastAsia" w:eastAsiaTheme="majorEastAsia"/>
              </w:rPr>
            </w:pPr>
            <w:r>
              <w:rPr>
                <w:rFonts w:hint="eastAsia" w:asciiTheme="majorEastAsia" w:hAnsiTheme="majorEastAsia" w:eastAsiaTheme="majorEastAsia"/>
              </w:rPr>
              <w:t>当出现以下一种或多种情况时，应对能源基准进行调整：</w:t>
            </w:r>
          </w:p>
          <w:p>
            <w:pPr>
              <w:jc w:val="left"/>
              <w:rPr>
                <w:rFonts w:asciiTheme="majorEastAsia" w:hAnsiTheme="majorEastAsia" w:eastAsiaTheme="majorEastAsia"/>
              </w:rPr>
            </w:pPr>
            <w:r>
              <w:rPr>
                <w:rFonts w:hint="eastAsia" w:asciiTheme="majorEastAsia" w:hAnsiTheme="majorEastAsia" w:eastAsiaTheme="majorEastAsia"/>
              </w:rPr>
              <w:t>a）能源绩效参数不再能够反映组织的能源绩效时；</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b）与主要能源使用和组织相关的能源消耗；</w:t>
            </w:r>
          </w:p>
          <w:p>
            <w:pPr>
              <w:jc w:val="left"/>
              <w:rPr>
                <w:rFonts w:asciiTheme="majorEastAsia" w:hAnsiTheme="majorEastAsia" w:eastAsiaTheme="majorEastAsia"/>
              </w:rPr>
            </w:pPr>
            <w:r>
              <w:rPr>
                <w:rFonts w:hint="eastAsia" w:asciiTheme="majorEastAsia" w:hAnsiTheme="majorEastAsia" w:eastAsiaTheme="majorEastAsia"/>
              </w:rPr>
              <w:t>c）与主要能源使用相关的运行准则；</w:t>
            </w:r>
          </w:p>
          <w:p>
            <w:pPr>
              <w:jc w:val="left"/>
              <w:rPr>
                <w:rFonts w:asciiTheme="majorEastAsia" w:hAnsiTheme="majorEastAsia" w:eastAsiaTheme="majorEastAsia"/>
              </w:rPr>
            </w:pPr>
            <w:r>
              <w:rPr>
                <w:rFonts w:hint="eastAsia" w:asciiTheme="majorEastAsia" w:hAnsiTheme="majorEastAsia" w:eastAsiaTheme="majorEastAsia"/>
              </w:rPr>
              <w:t>d）适用时，静态因素；</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能源数据收集计划应按规定的时间间隔进行评审，并在适用时更新。</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□节能评估报告编号/日期：</w:t>
            </w:r>
          </w:p>
          <w:p>
            <w:pPr>
              <w:shd w:val="clear" w:color="auto" w:fill="EBF1DE" w:themeFill="accent3" w:themeFillTint="32"/>
              <w:rPr>
                <w:rFonts w:hint="default" w:eastAsia="宋体"/>
                <w:lang w:val="en-US" w:eastAsia="zh-CN"/>
              </w:rPr>
            </w:pPr>
            <w:r>
              <w:rPr>
                <w:rFonts w:hint="eastAsia"/>
                <w:lang w:eastAsia="zh-CN"/>
              </w:rPr>
              <w:t>☑</w:t>
            </w:r>
            <w:r>
              <w:rPr>
                <w:rFonts w:hint="eastAsia"/>
              </w:rPr>
              <w:t>能源评审报告编号/日期：</w:t>
            </w:r>
            <w:r>
              <w:rPr>
                <w:rFonts w:hint="eastAsia"/>
                <w:lang w:val="en-US" w:eastAsia="zh-CN"/>
              </w:rPr>
              <w:t>2021.10</w:t>
            </w:r>
          </w:p>
          <w:p>
            <w:pPr>
              <w:shd w:val="clear" w:color="auto" w:fill="EBF1DE" w:themeFill="accent3" w:themeFillTint="32"/>
            </w:pPr>
            <w:r>
              <w:rPr>
                <w:rFonts w:hint="eastAsia"/>
              </w:rPr>
              <w:t>□节能项目验收报告编号/日期：</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组织策划并采取措施管理其能源评审、合规义务和识别的风险和机遇；</w:t>
            </w:r>
          </w:p>
          <w:p>
            <w:pPr>
              <w:shd w:val="clear" w:color="auto" w:fill="EBF1DE" w:themeFill="accent3" w:themeFillTint="32"/>
            </w:pPr>
            <w:r>
              <w:rPr>
                <w:rFonts w:hint="eastAsia"/>
              </w:rPr>
              <w:t>□限额标准</w:t>
            </w:r>
            <w:r>
              <w:rPr>
                <w:rFonts w:hint="eastAsia"/>
                <w:lang w:eastAsia="zh-CN"/>
              </w:rPr>
              <w:t>☑</w:t>
            </w:r>
            <w:r>
              <w:rPr>
                <w:rFonts w:hint="eastAsia"/>
              </w:rPr>
              <w:t>能源计量管理</w:t>
            </w:r>
            <w:r>
              <w:rPr>
                <w:rFonts w:hint="eastAsia"/>
                <w:lang w:eastAsia="zh-CN"/>
              </w:rPr>
              <w:t>☑</w:t>
            </w:r>
            <w:r>
              <w:rPr>
                <w:rFonts w:hint="eastAsia"/>
              </w:rPr>
              <w:t>使用节能设备</w:t>
            </w:r>
            <w:r>
              <w:rPr>
                <w:rFonts w:hint="eastAsia"/>
                <w:lang w:eastAsia="zh-CN"/>
              </w:rPr>
              <w:t>□</w:t>
            </w:r>
            <w:r>
              <w:rPr>
                <w:rFonts w:hint="eastAsia"/>
              </w:rPr>
              <w:t>主要耗能设备识别及能效测试</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194"/>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9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930"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eastAsia="宋体" w:cs="Times New Roman"/>
                      <w:lang w:val="en-US" w:eastAsia="zh-CN"/>
                    </w:rPr>
                    <w:t>单位产品能耗</w:t>
                  </w:r>
                  <w:r>
                    <w:rPr>
                      <w:rFonts w:hint="eastAsia" w:ascii="宋体" w:hAnsi="宋体" w:eastAsia="宋体" w:cs="宋体"/>
                      <w:kern w:val="2"/>
                      <w:sz w:val="24"/>
                      <w:szCs w:val="24"/>
                      <w:lang w:val="en-US" w:eastAsia="zh-CN" w:bidi="ar-SA"/>
                    </w:rPr>
                    <w:t>≦≦</w:t>
                  </w:r>
                  <w:r>
                    <w:rPr>
                      <w:rFonts w:hint="eastAsia" w:cs="Times New Roman"/>
                      <w:kern w:val="2"/>
                      <w:sz w:val="24"/>
                      <w:szCs w:val="24"/>
                      <w:lang w:val="en-US" w:eastAsia="zh-CN" w:bidi="ar-SA"/>
                    </w:rPr>
                    <w:t>2.2</w:t>
                  </w:r>
                  <w:r>
                    <w:rPr>
                      <w:rFonts w:hint="eastAsia" w:ascii="Times New Roman" w:hAnsi="Times New Roman" w:eastAsia="宋体" w:cs="Times New Roman"/>
                      <w:kern w:val="2"/>
                      <w:sz w:val="24"/>
                      <w:szCs w:val="24"/>
                      <w:lang w:val="en-US" w:eastAsia="zh-CN" w:bidi="ar-SA"/>
                    </w:rPr>
                    <w:t>tce/</w:t>
                  </w:r>
                  <w:r>
                    <w:rPr>
                      <w:rFonts w:hint="eastAsia" w:cs="Times New Roman"/>
                      <w:kern w:val="2"/>
                      <w:sz w:val="24"/>
                      <w:szCs w:val="24"/>
                      <w:lang w:val="en-US" w:eastAsia="zh-CN" w:bidi="ar-SA"/>
                    </w:rPr>
                    <w:t>万</w:t>
                  </w:r>
                  <w:r>
                    <w:rPr>
                      <w:rFonts w:hint="eastAsia" w:ascii="Times New Roman" w:hAnsi="Times New Roman" w:eastAsia="宋体" w:cs="Times New Roman"/>
                      <w:lang w:val="en-US" w:eastAsia="zh-CN"/>
                    </w:rPr>
                    <w:t>米</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加强生产管理，保持生产稳定；避免经常停车，进行大规模批量生产</w:t>
                  </w:r>
                </w:p>
              </w:tc>
              <w:tc>
                <w:tcPr>
                  <w:tcW w:w="1194"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生产部</w:t>
                  </w:r>
                </w:p>
              </w:tc>
              <w:tc>
                <w:tcPr>
                  <w:tcW w:w="1930" w:type="dxa"/>
                  <w:shd w:val="clear" w:color="auto" w:fill="auto"/>
                  <w:vAlign w:val="center"/>
                </w:tcPr>
                <w:p>
                  <w:pPr>
                    <w:shd w:val="clear" w:color="auto" w:fill="EBF1DE" w:themeFill="accent3" w:themeFillTint="32"/>
                    <w:rPr>
                      <w:rFonts w:hint="eastAsia" w:ascii="Times New Roman" w:hAnsi="Times New Roman" w:eastAsia="宋体" w:cs="Times New Roman"/>
                      <w:lang w:val="en-GB" w:eastAsia="zh-CN"/>
                    </w:rPr>
                  </w:pPr>
                  <w:r>
                    <w:rPr>
                      <w:rFonts w:hint="eastAsia" w:cs="Times New Roman"/>
                      <w:kern w:val="2"/>
                      <w:sz w:val="24"/>
                      <w:szCs w:val="24"/>
                      <w:lang w:val="en-US" w:eastAsia="zh-CN" w:bidi="ar-SA"/>
                    </w:rPr>
                    <w:t>2.0</w:t>
                  </w:r>
                  <w:r>
                    <w:rPr>
                      <w:rFonts w:hint="eastAsia" w:ascii="Times New Roman" w:hAnsi="Times New Roman" w:eastAsia="宋体" w:cs="Times New Roman"/>
                      <w:kern w:val="2"/>
                      <w:sz w:val="24"/>
                      <w:szCs w:val="24"/>
                      <w:lang w:val="en-US" w:eastAsia="zh-CN" w:bidi="ar-SA"/>
                    </w:rPr>
                    <w:t>tce/万米</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p>
          <w:p>
            <w:pPr>
              <w:shd w:val="clear" w:color="auto" w:fill="EBF1DE" w:themeFill="accent3" w:themeFillTint="32"/>
            </w:pPr>
            <w:r>
              <w:rPr>
                <w:rFonts w:hint="eastAsia"/>
              </w:rPr>
              <w:t>□组织现有内部资源的能力完全不能满足能源管理体系运行，需要从外部供方获得：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p>
          <w:p>
            <w:pPr>
              <w:shd w:val="clear" w:color="auto" w:fill="EBF1DE" w:themeFill="accent3" w:themeFillTint="32"/>
            </w:pPr>
            <w:r>
              <w:rPr>
                <w:rFonts w:hint="eastAsia"/>
              </w:rPr>
              <w:t>□组织现有人力资源的能力完全不能满足能源管理体系运行，需要从外部供方获得：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 xml:space="preserve"> 100000 </w:t>
            </w:r>
            <w:r>
              <w:rPr>
                <w:rFonts w:hint="eastAsia"/>
              </w:rPr>
              <w:t>平方米；生产车间</w:t>
            </w:r>
            <w:r>
              <w:rPr>
                <w:rFonts w:hint="eastAsia"/>
                <w:lang w:val="en-US" w:eastAsia="zh-CN"/>
              </w:rPr>
              <w:t xml:space="preserve"> 6</w:t>
            </w:r>
            <w:r>
              <w:rPr>
                <w:rFonts w:hint="eastAsia"/>
              </w:rPr>
              <w:t>个；库房</w:t>
            </w:r>
            <w:r>
              <w:rPr>
                <w:rFonts w:hint="eastAsia"/>
                <w:lang w:val="en-US" w:eastAsia="zh-CN"/>
              </w:rPr>
              <w:t>5</w:t>
            </w:r>
            <w:r>
              <w:rPr>
                <w:rFonts w:hint="eastAsia"/>
              </w:rPr>
              <w:t>个；实验室</w:t>
            </w:r>
            <w:r>
              <w:rPr>
                <w:rFonts w:hint="eastAsia"/>
                <w:lang w:val="en-US" w:eastAsia="zh-CN"/>
              </w:rPr>
              <w:t xml:space="preserve">1 </w:t>
            </w:r>
            <w:r>
              <w:rPr>
                <w:rFonts w:hint="eastAsia"/>
              </w:rPr>
              <w:t>个；</w:t>
            </w:r>
          </w:p>
          <w:p>
            <w:pPr>
              <w:shd w:val="clear" w:color="auto" w:fill="EBF1DE" w:themeFill="accent3" w:themeFillTint="32"/>
              <w:rPr>
                <w:u w:val="single"/>
              </w:rPr>
            </w:pPr>
            <w:r>
              <w:rPr>
                <w:rFonts w:hint="eastAsia"/>
              </w:rPr>
              <w:t>主要生产设备有：</w:t>
            </w:r>
            <w:r>
              <w:rPr>
                <w:rFonts w:hint="eastAsia" w:ascii="Times New Roman" w:hAnsi="Times New Roman" w:eastAsia="宋体" w:cs="Times New Roman"/>
                <w:u w:val="single"/>
                <w:lang w:val="en-US" w:eastAsia="zh-CN"/>
              </w:rPr>
              <w:t>染色机、定型机、</w:t>
            </w:r>
            <w:r>
              <w:rPr>
                <w:rFonts w:hint="eastAsia" w:cs="Times New Roman"/>
                <w:u w:val="single"/>
                <w:lang w:val="en-US" w:eastAsia="zh-CN"/>
              </w:rPr>
              <w:t>水洗机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ascii="Times New Roman" w:hAnsi="Times New Roman" w:eastAsia="宋体" w:cs="Times New Roman"/>
                <w:u w:val="single"/>
                <w:lang w:val="en-US" w:eastAsia="zh-CN"/>
              </w:rPr>
              <w:t>空压机、染色机、定型机</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p>
          <w:p>
            <w:pPr>
              <w:shd w:val="clear" w:color="auto" w:fill="EBF1DE" w:themeFill="accent3" w:themeFillTint="32"/>
              <w:rPr>
                <w:u w:val="single"/>
              </w:rPr>
            </w:pPr>
            <w:r>
              <w:rPr>
                <w:rFonts w:hint="eastAsia"/>
              </w:rPr>
              <w:t>□组织现有基础设施完全不能满足能源管理体系运行，需要从外部供方获得：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计量器具的测量溯源方法：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能源计量器具有：</w:t>
            </w:r>
            <w:r>
              <w:rPr>
                <w:rFonts w:hint="eastAsia" w:eastAsia="宋体"/>
                <w:u w:val="single"/>
                <w:lang w:val="en-US" w:eastAsia="zh-CN"/>
              </w:rPr>
              <w:t>电表、水表、蒸汽流量表</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r>
              <w:rPr>
                <w:rFonts w:hint="eastAsia" w:eastAsia="宋体"/>
                <w:highlight w:val="yellow"/>
                <w:u w:val="single"/>
                <w:lang w:val="en-US" w:eastAsia="zh-CN"/>
              </w:rPr>
              <w:t>由供应部门负责校检</w:t>
            </w:r>
            <w:r>
              <w:rPr>
                <w:rFonts w:hint="eastAsia" w:eastAsia="宋体"/>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组织为满足节能管理的要求，已对用能过程建立了相应的运行准则；按照运行准则实施过程控制。策划文件包括：</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操作规程</w:t>
            </w:r>
            <w:r>
              <w:rPr>
                <w:rFonts w:hint="eastAsia" w:ascii="Times New Roman" w:hAnsi="Times New Roman" w:eastAsia="宋体" w:cs="Times New Roman"/>
                <w:lang w:eastAsia="zh-CN"/>
              </w:rPr>
              <w:t>☑</w:t>
            </w:r>
            <w:r>
              <w:rPr>
                <w:rFonts w:hint="eastAsia" w:ascii="Times New Roman" w:hAnsi="Times New Roman" w:eastAsia="宋体" w:cs="Times New Roman"/>
              </w:rPr>
              <w:t>作业文件</w:t>
            </w:r>
            <w:r>
              <w:rPr>
                <w:rFonts w:hint="eastAsia" w:ascii="Times New Roman" w:hAnsi="Times New Roman" w:eastAsia="宋体" w:cs="Times New Roman"/>
                <w:lang w:eastAsia="zh-CN"/>
              </w:rPr>
              <w:t>□</w:t>
            </w:r>
            <w:r>
              <w:rPr>
                <w:rFonts w:hint="eastAsia" w:ascii="Times New Roman" w:hAnsi="Times New Roman" w:eastAsia="宋体" w:cs="Times New Roman"/>
              </w:rPr>
              <w:t>工艺卡片</w:t>
            </w:r>
            <w:r>
              <w:rPr>
                <w:rFonts w:hint="eastAsia" w:ascii="Times New Roman" w:hAnsi="Times New Roman" w:eastAsia="宋体" w:cs="Times New Roman"/>
                <w:lang w:eastAsia="zh-CN"/>
              </w:rPr>
              <w:t>☑</w:t>
            </w:r>
            <w:r>
              <w:rPr>
                <w:rFonts w:hint="eastAsia" w:ascii="Times New Roman" w:hAnsi="Times New Roman" w:eastAsia="宋体" w:cs="Times New Roman"/>
              </w:rPr>
              <w:t>接收准则</w:t>
            </w:r>
            <w:r>
              <w:rPr>
                <w:rFonts w:hint="eastAsia" w:ascii="Times New Roman" w:hAnsi="Times New Roman" w:eastAsia="宋体" w:cs="Times New Roman"/>
                <w:lang w:eastAsia="zh-CN"/>
              </w:rPr>
              <w:t>☑</w:t>
            </w:r>
            <w:r>
              <w:rPr>
                <w:rFonts w:hint="eastAsia" w:ascii="Times New Roman" w:hAnsi="Times New Roman" w:eastAsia="宋体" w:cs="Times New Roman"/>
              </w:rPr>
              <w:t>工艺流程图</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能源采购</w:t>
            </w:r>
            <w:r>
              <w:rPr>
                <w:rFonts w:hint="eastAsia" w:ascii="Wingdings" w:hAnsi="Wingdings"/>
                <w:lang w:eastAsia="zh-CN"/>
              </w:rPr>
              <w:t>☑</w:t>
            </w:r>
            <w:r>
              <w:rPr>
                <w:rFonts w:hint="eastAsia"/>
              </w:rPr>
              <w:t>主要用能设备采购</w:t>
            </w:r>
            <w:r>
              <w:rPr>
                <w:rFonts w:hint="eastAsia" w:ascii="Wingdings" w:hAnsi="Wingdings"/>
                <w:lang w:eastAsia="zh-CN"/>
              </w:rPr>
              <w:t>□</w:t>
            </w:r>
            <w:r>
              <w:rPr>
                <w:rFonts w:hint="eastAsia"/>
              </w:rPr>
              <w:t>淘汰落后设备更新</w:t>
            </w:r>
            <w:r>
              <w:rPr>
                <w:rFonts w:hint="eastAsia" w:ascii="Wingdings" w:hAnsi="Wingdings"/>
                <w:lang w:eastAsia="zh-CN"/>
              </w:rPr>
              <w:t>□</w:t>
            </w:r>
            <w:r>
              <w:rPr>
                <w:rFonts w:hint="eastAsia"/>
              </w:rPr>
              <w:t>能源计量器具采购</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主要能源使用</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蒸汽消耗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杜绝跑冒滴漏、节约用汽</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电的消耗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利用配套的电机，节约用电。</w:t>
                  </w:r>
                </w:p>
              </w:tc>
              <w:tc>
                <w:tcPr>
                  <w:tcW w:w="3265" w:type="dxa"/>
                </w:tcPr>
                <w:p>
                  <w:pPr>
                    <w:shd w:val="clear" w:color="auto" w:fill="EBF1DE" w:themeFill="accent3" w:themeFillTint="32"/>
                    <w:jc w:val="left"/>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燃料气</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节能技术的实施</w:t>
            </w:r>
            <w:r>
              <w:rPr>
                <w:rFonts w:hint="eastAsia" w:ascii="Wingdings" w:hAnsi="Wingdings"/>
                <w:lang w:eastAsia="zh-CN"/>
              </w:rPr>
              <w:t>☑</w:t>
            </w:r>
            <w:r>
              <w:rPr>
                <w:rFonts w:hint="eastAsia"/>
              </w:rPr>
              <w:t>节能设备的更新</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组织识别了潜在紧急情况及应急准备时所带来的能源消耗影响；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组织在适当阶段实施策划的安排，以验证能源法律法规的要求已得到满足。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企业自测</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26</w:t>
            </w:r>
            <w:r>
              <w:rPr>
                <w:rFonts w:hint="eastAsia"/>
              </w:rPr>
              <w:t>日实施了能源管理体系内部审核，对能源管理体系的符合性和有效性进行了审核。内审发现的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30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8"/>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586"/>
        <w:gridCol w:w="623"/>
        <w:gridCol w:w="800"/>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586"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623"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80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86"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23"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0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86" w:type="dxa"/>
            <w:shd w:val="clear" w:color="auto" w:fill="EBF1DE" w:themeFill="accent3" w:themeFillTint="32"/>
            <w:vAlign w:val="center"/>
          </w:tcPr>
          <w:p>
            <w:pPr>
              <w:shd w:val="clear" w:color="auto" w:fill="EBF1DE" w:themeFill="accent3" w:themeFillTint="32"/>
              <w:rPr>
                <w:lang w:eastAsia="ja-JP"/>
              </w:rPr>
            </w:pPr>
          </w:p>
        </w:tc>
        <w:tc>
          <w:tcPr>
            <w:tcW w:w="623" w:type="dxa"/>
            <w:shd w:val="clear" w:color="auto" w:fill="EBF1DE" w:themeFill="accent3" w:themeFillTint="32"/>
            <w:vAlign w:val="center"/>
          </w:tcPr>
          <w:p>
            <w:pPr>
              <w:shd w:val="clear" w:color="auto" w:fill="EBF1DE" w:themeFill="accent3" w:themeFillTint="32"/>
              <w:rPr>
                <w:lang w:eastAsia="ja-JP"/>
              </w:rPr>
            </w:pPr>
          </w:p>
        </w:tc>
        <w:tc>
          <w:tcPr>
            <w:tcW w:w="800"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586" w:type="dxa"/>
            <w:shd w:val="clear" w:color="auto" w:fill="EBF1DE" w:themeFill="accent3" w:themeFillTint="32"/>
            <w:vAlign w:val="center"/>
          </w:tcPr>
          <w:p>
            <w:pPr>
              <w:shd w:val="clear" w:color="auto" w:fill="EBF1DE" w:themeFill="accent3" w:themeFillTint="32"/>
            </w:pPr>
            <w:r>
              <w:rPr>
                <w:rFonts w:hint="eastAsia"/>
              </w:rPr>
              <w:t>7.4</w:t>
            </w:r>
          </w:p>
        </w:tc>
        <w:tc>
          <w:tcPr>
            <w:tcW w:w="623" w:type="dxa"/>
            <w:shd w:val="clear" w:color="auto" w:fill="EBF1DE" w:themeFill="accent3" w:themeFillTint="32"/>
            <w:vAlign w:val="center"/>
          </w:tcPr>
          <w:p>
            <w:pPr>
              <w:shd w:val="clear" w:color="auto" w:fill="EBF1DE" w:themeFill="accent3" w:themeFillTint="32"/>
            </w:pPr>
            <w:r>
              <w:rPr>
                <w:rFonts w:hint="eastAsia"/>
              </w:rPr>
              <w:t>7.5</w:t>
            </w:r>
          </w:p>
        </w:tc>
        <w:tc>
          <w:tcPr>
            <w:tcW w:w="80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44"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586"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23"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80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4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86" w:type="dxa"/>
            <w:shd w:val="clear" w:color="auto" w:fill="EBF1DE" w:themeFill="accent3" w:themeFillTint="32"/>
            <w:vAlign w:val="center"/>
          </w:tcPr>
          <w:p>
            <w:pPr>
              <w:shd w:val="clear" w:color="auto" w:fill="EBF1DE" w:themeFill="accent3" w:themeFillTint="32"/>
              <w:rPr>
                <w:lang w:eastAsia="ja-JP"/>
              </w:rPr>
            </w:pPr>
          </w:p>
        </w:tc>
        <w:tc>
          <w:tcPr>
            <w:tcW w:w="623" w:type="dxa"/>
            <w:shd w:val="clear" w:color="auto" w:fill="EBF1DE" w:themeFill="accent3" w:themeFillTint="32"/>
            <w:vAlign w:val="center"/>
          </w:tcPr>
          <w:p>
            <w:pPr>
              <w:shd w:val="clear" w:color="auto" w:fill="EBF1DE" w:themeFill="accent3" w:themeFillTint="32"/>
              <w:rPr>
                <w:lang w:eastAsia="ja-JP"/>
              </w:rPr>
            </w:pPr>
          </w:p>
        </w:tc>
        <w:tc>
          <w:tcPr>
            <w:tcW w:w="800"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586" w:type="dxa"/>
            <w:shd w:val="clear" w:color="auto" w:fill="EBF1DE" w:themeFill="accent3" w:themeFillTint="32"/>
            <w:vAlign w:val="center"/>
          </w:tcPr>
          <w:p>
            <w:pPr>
              <w:shd w:val="clear" w:color="auto" w:fill="EBF1DE" w:themeFill="accent3" w:themeFillTint="32"/>
              <w:rPr>
                <w:lang w:eastAsia="ja-JP"/>
              </w:rPr>
            </w:pPr>
          </w:p>
        </w:tc>
        <w:tc>
          <w:tcPr>
            <w:tcW w:w="623" w:type="dxa"/>
            <w:shd w:val="clear" w:color="auto" w:fill="EBF1DE" w:themeFill="accent3" w:themeFillTint="32"/>
            <w:vAlign w:val="center"/>
          </w:tcPr>
          <w:p>
            <w:pPr>
              <w:shd w:val="clear" w:color="auto" w:fill="EBF1DE" w:themeFill="accent3" w:themeFillTint="32"/>
              <w:rPr>
                <w:lang w:eastAsia="ja-JP"/>
              </w:rPr>
            </w:pPr>
          </w:p>
        </w:tc>
        <w:tc>
          <w:tcPr>
            <w:tcW w:w="800"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586" w:type="dxa"/>
            <w:shd w:val="clear" w:color="auto" w:fill="EBF1DE" w:themeFill="accent3" w:themeFillTint="32"/>
            <w:vAlign w:val="center"/>
          </w:tcPr>
          <w:p>
            <w:pPr>
              <w:shd w:val="clear" w:color="auto" w:fill="EBF1DE" w:themeFill="accent3" w:themeFillTint="32"/>
              <w:rPr>
                <w:lang w:eastAsia="ja-JP"/>
              </w:rPr>
            </w:pPr>
          </w:p>
        </w:tc>
        <w:tc>
          <w:tcPr>
            <w:tcW w:w="623" w:type="dxa"/>
            <w:shd w:val="clear" w:color="auto" w:fill="EBF1DE" w:themeFill="accent3" w:themeFillTint="32"/>
            <w:vAlign w:val="center"/>
          </w:tcPr>
          <w:p>
            <w:pPr>
              <w:shd w:val="clear" w:color="auto" w:fill="EBF1DE" w:themeFill="accent3" w:themeFillTint="32"/>
              <w:rPr>
                <w:lang w:eastAsia="ja-JP"/>
              </w:rPr>
            </w:pPr>
          </w:p>
        </w:tc>
        <w:tc>
          <w:tcPr>
            <w:tcW w:w="800"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586" w:type="dxa"/>
            <w:shd w:val="clear" w:color="auto" w:fill="EBF1DE" w:themeFill="accent3" w:themeFillTint="32"/>
            <w:vAlign w:val="center"/>
          </w:tcPr>
          <w:p>
            <w:pPr>
              <w:shd w:val="clear" w:color="auto" w:fill="EBF1DE" w:themeFill="accent3" w:themeFillTint="32"/>
              <w:rPr>
                <w:lang w:eastAsia="ja-JP"/>
              </w:rPr>
            </w:pPr>
          </w:p>
        </w:tc>
        <w:tc>
          <w:tcPr>
            <w:tcW w:w="623" w:type="dxa"/>
            <w:shd w:val="clear" w:color="auto" w:fill="EBF1DE" w:themeFill="accent3" w:themeFillTint="32"/>
            <w:vAlign w:val="center"/>
          </w:tcPr>
          <w:p>
            <w:pPr>
              <w:shd w:val="clear" w:color="auto" w:fill="EBF1DE" w:themeFill="accent3" w:themeFillTint="32"/>
              <w:rPr>
                <w:lang w:eastAsia="ja-JP"/>
              </w:rPr>
            </w:pPr>
          </w:p>
        </w:tc>
        <w:tc>
          <w:tcPr>
            <w:tcW w:w="800" w:type="dxa"/>
            <w:shd w:val="clear" w:color="auto" w:fill="EBF1DE" w:themeFill="accent3" w:themeFillTint="32"/>
            <w:vAlign w:val="center"/>
          </w:tcPr>
          <w:p>
            <w:pPr>
              <w:shd w:val="clear" w:color="auto" w:fill="EBF1DE" w:themeFill="accent3" w:themeFillTint="32"/>
              <w:rPr>
                <w:lang w:eastAsia="ja-JP"/>
              </w:rPr>
            </w:pPr>
          </w:p>
        </w:tc>
        <w:tc>
          <w:tcPr>
            <w:tcW w:w="744"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2336"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4F70FA"/>
    <w:rsid w:val="12DF4C49"/>
    <w:rsid w:val="3214072C"/>
    <w:rsid w:val="46025F29"/>
    <w:rsid w:val="517250DF"/>
    <w:rsid w:val="6B6B3401"/>
    <w:rsid w:val="79C10C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4023</Words>
  <Characters>22932</Characters>
  <Lines>191</Lines>
  <Paragraphs>53</Paragraphs>
  <TotalTime>0</TotalTime>
  <ScaleCrop>false</ScaleCrop>
  <LinksUpToDate>false</LinksUpToDate>
  <CharactersWithSpaces>26902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2021-12-08T13:52:28Z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