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81"/>
        <w:gridCol w:w="1130"/>
        <w:gridCol w:w="700"/>
        <w:gridCol w:w="468"/>
        <w:gridCol w:w="32"/>
        <w:gridCol w:w="1167"/>
        <w:gridCol w:w="303"/>
        <w:gridCol w:w="1004"/>
        <w:gridCol w:w="482"/>
        <w:gridCol w:w="452"/>
        <w:gridCol w:w="459"/>
        <w:gridCol w:w="303"/>
        <w:gridCol w:w="550"/>
        <w:gridCol w:w="14"/>
        <w:gridCol w:w="666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晋江市维盛织造漂染有限公司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晋江市深沪镇东海安开发区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晋江市深沪镇东海安开发区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叶有钧</w:t>
            </w:r>
            <w:bookmarkEnd w:id="3"/>
          </w:p>
        </w:tc>
        <w:tc>
          <w:tcPr>
            <w:tcW w:w="11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18050889889</w:t>
            </w:r>
            <w:bookmarkEnd w:id="4"/>
          </w:p>
        </w:tc>
        <w:tc>
          <w:tcPr>
            <w:tcW w:w="9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98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249095325@qq.com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330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1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89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98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1159-2021-EnMs</w:t>
            </w:r>
            <w:bookmarkEnd w:id="8"/>
          </w:p>
        </w:tc>
        <w:tc>
          <w:tcPr>
            <w:tcW w:w="116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682" w:type="dxa"/>
            <w:gridSpan w:val="11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染整</w:t>
            </w:r>
            <w:bookmarkStart w:id="29" w:name="_GoBack"/>
            <w:bookmarkEnd w:id="29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过程所涉及的能源管理活动；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2.5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 能源管理体系 纺织企业认证要求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2021年11月28日 上午至2021年11月30日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2.5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远程审核于2021年11月28日 上午至2021年11月30日 上午(共2.5天)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6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施少雄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晋江市佳福化纤实业有限公司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18050888966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7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施少雄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97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晋江市佳福化纤实业有限公司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ind w:firstLine="600" w:firstLineChars="3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18050888966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8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1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2021.11.27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2021.11.27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5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9:00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restart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(其中12；00-12：30午餐）</w:t>
            </w: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管理层有关的管理体系控制及运行活动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采购部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2021.11.29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17：00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(其中12；00-12：30午餐）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综合办公室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:5.3/6.2/7.2/7.3/7.5/8.1/9.1.2/9.2/10.1  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  <w:t>(8:00-8:30夜班交班检查)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2021.11.30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12：00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综合办公室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继续审核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财务部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职责和权限、目标方案、运行控制现场经济运行控制、不符合及纠正措施、不符合及纠正措施；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En:5.3/6.2/8.1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12:30</w:t>
            </w:r>
          </w:p>
        </w:tc>
        <w:tc>
          <w:tcPr>
            <w:tcW w:w="7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B17CD"/>
    <w:rsid w:val="0B6658E8"/>
    <w:rsid w:val="26887BAE"/>
    <w:rsid w:val="4D1754A7"/>
    <w:rsid w:val="59083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2021-12-08T13:51:25Z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