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1157-2021-EnMs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福建石狮晨光化纤染织有限公司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福建石狮晨光化纤染织有限公司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福建省泉州市石狮市锦尚镇深埕村污控区17号</w:t>
            </w:r>
            <w:bookmarkEnd w:id="6"/>
          </w:p>
        </w:tc>
        <w:tc>
          <w:tcPr>
            <w:tcW w:w="1242" w:type="dxa"/>
            <w:vMerge w:val="restart"/>
            <w:vAlign w:val="center"/>
          </w:tcPr>
          <w:p>
            <w:r>
              <w:rPr>
                <w:rFonts w:hint="eastAsia"/>
              </w:rPr>
              <w:t>邮编</w:t>
            </w:r>
          </w:p>
        </w:tc>
        <w:tc>
          <w:tcPr>
            <w:tcW w:w="1771" w:type="dxa"/>
          </w:tcPr>
          <w:p>
            <w:bookmarkStart w:id="7" w:name="注册邮编"/>
            <w:r>
              <w:t>362700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福建省泉州市石狮市锦尚镇深埕村污控区17号</w:t>
            </w:r>
            <w:bookmarkEnd w:id="8"/>
          </w:p>
        </w:tc>
        <w:tc>
          <w:tcPr>
            <w:tcW w:w="1242" w:type="dxa"/>
            <w:vMerge w:val="continue"/>
            <w:vAlign w:val="center"/>
          </w:tcPr>
          <w:p/>
        </w:tc>
        <w:tc>
          <w:tcPr>
            <w:tcW w:w="1771" w:type="dxa"/>
          </w:tcPr>
          <w:p>
            <w:bookmarkStart w:id="9" w:name="办公邮编"/>
            <w:r>
              <w:t>362700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杨婵</w:t>
            </w:r>
            <w:bookmarkEnd w:id="10"/>
          </w:p>
        </w:tc>
        <w:tc>
          <w:tcPr>
            <w:tcW w:w="1313" w:type="dxa"/>
            <w:vAlign w:val="center"/>
          </w:tcPr>
          <w:p>
            <w:r>
              <w:rPr>
                <w:rFonts w:hint="eastAsia"/>
              </w:rPr>
              <w:t>电话.</w:t>
            </w:r>
          </w:p>
        </w:tc>
        <w:tc>
          <w:tcPr>
            <w:tcW w:w="2180" w:type="dxa"/>
            <w:vAlign w:val="center"/>
          </w:tcPr>
          <w:p>
            <w:bookmarkStart w:id="11" w:name="联系人电话"/>
            <w:r>
              <w:t>18005050720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蔡炳伟</w:t>
            </w:r>
            <w:bookmarkEnd w:id="13"/>
          </w:p>
        </w:tc>
        <w:tc>
          <w:tcPr>
            <w:tcW w:w="1313" w:type="dxa"/>
            <w:vAlign w:val="center"/>
          </w:tcPr>
          <w:p>
            <w:r>
              <w:rPr>
                <w:rFonts w:hint="eastAsia"/>
              </w:rPr>
              <w:t>管理者代表</w:t>
            </w:r>
          </w:p>
        </w:tc>
        <w:tc>
          <w:tcPr>
            <w:tcW w:w="2180" w:type="dxa"/>
          </w:tcPr>
          <w:p>
            <w:bookmarkStart w:id="14" w:name="管理者代表"/>
            <w:r>
              <w:t>江清照</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lang w:eastAsia="zh-CN"/>
              </w:rPr>
              <w:t>☑</w:t>
            </w:r>
            <w:r>
              <w:rPr>
                <w:rFonts w:hint="eastAsia"/>
              </w:rPr>
              <w:t>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68240" cy="3516630"/>
                  <wp:effectExtent l="0" t="0" r="1016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968240" cy="3516630"/>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8"/>
        <w:gridCol w:w="884"/>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2021年12月05日 上午至2021年12月07日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eastAsia="zh-CN"/>
              </w:rPr>
              <w:t>☑</w:t>
            </w:r>
            <w:r>
              <w:rPr>
                <w:rFonts w:hint="eastAsia"/>
                <w:lang w:val="de-DE"/>
              </w:rPr>
              <w:t xml:space="preserve">RB/T </w:t>
            </w:r>
            <w:r>
              <w:rPr>
                <w:rFonts w:hint="eastAsia"/>
                <w:lang w:val="en-US" w:eastAsia="zh-CN"/>
              </w:rPr>
              <w:t>102-2013能源管理体系 纺织企业认证要求</w:t>
            </w:r>
          </w:p>
          <w:p>
            <w:r>
              <w:rPr>
                <w:rFonts w:hint="eastAsia"/>
                <w:lang w:val="de-DE" w:eastAsia="zh-CN"/>
              </w:rPr>
              <w:t>☑</w:t>
            </w:r>
            <w:r>
              <w:rPr>
                <w:rFonts w:hint="eastAsia"/>
                <w:lang w:val="de-DE"/>
              </w:rPr>
              <w:t>受审核方</w:t>
            </w:r>
            <w:r>
              <w:rPr>
                <w:rFonts w:hint="eastAsia"/>
              </w:rPr>
              <w:t>管理体系成文信息</w:t>
            </w:r>
            <w:r>
              <w:rPr>
                <w:rFonts w:hint="eastAsia"/>
                <w:lang w:val="en-US" w:eastAsia="zh-CN"/>
              </w:rPr>
              <w:t xml:space="preserve">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t>福建省泉州市石狮市锦尚镇深埕村污控区17号</w:t>
            </w:r>
            <w:r>
              <w:rPr>
                <w:rFonts w:hint="eastAsia"/>
                <w:lang w:eastAsia="zh-CN"/>
              </w:rPr>
              <w:t>（</w:t>
            </w:r>
            <w:r>
              <w:rPr>
                <w:rFonts w:hint="eastAsia"/>
                <w:lang w:val="en-US" w:eastAsia="zh-CN"/>
              </w:rPr>
              <w:t>远程：河北省石家庄市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8" w:type="dxa"/>
            <w:vMerge w:val="restart"/>
            <w:vAlign w:val="center"/>
          </w:tcPr>
          <w:p>
            <w:r>
              <w:rPr>
                <w:rFonts w:hint="eastAsia"/>
              </w:rPr>
              <w:t>审核范围</w:t>
            </w:r>
          </w:p>
        </w:tc>
        <w:tc>
          <w:tcPr>
            <w:tcW w:w="5500" w:type="dxa"/>
            <w:gridSpan w:val="3"/>
            <w:vMerge w:val="restart"/>
            <w:vAlign w:val="center"/>
          </w:tcPr>
          <w:p>
            <w:r>
              <w:rPr>
                <w:rFonts w:hint="eastAsia"/>
                <w:sz w:val="20"/>
                <w:lang w:val="en-US" w:eastAsia="zh-CN"/>
              </w:rPr>
              <w:t>织物面料、织带、纱线的染整加工所涉及的能源管理活动；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48" w:type="dxa"/>
            <w:vMerge w:val="continue"/>
            <w:vAlign w:val="center"/>
          </w:tcPr>
          <w:p/>
        </w:tc>
        <w:tc>
          <w:tcPr>
            <w:tcW w:w="5500" w:type="dxa"/>
            <w:gridSpan w:val="3"/>
            <w:vMerge w:val="continue"/>
            <w:vAlign w:val="center"/>
          </w:tcPr>
          <w:p/>
        </w:tc>
        <w:tc>
          <w:tcPr>
            <w:tcW w:w="3215" w:type="dxa"/>
            <w:vAlign w:val="center"/>
          </w:tcPr>
          <w:p>
            <w:bookmarkStart w:id="29" w:name="专业代码"/>
            <w:r>
              <w:t>2.5</w:t>
            </w:r>
            <w:bookmarkEnd w:id="29"/>
          </w:p>
        </w:tc>
      </w:tr>
      <w:tr>
        <w:tblPrEx>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28</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福建石狮晨光化纤染织有限公司</w:t>
            </w:r>
            <w:r>
              <w:rPr>
                <w:rFonts w:hint="eastAsia"/>
                <w:lang w:val="en-US" w:eastAsia="zh-CN"/>
              </w:rPr>
              <w:t>/</w:t>
            </w:r>
            <w:r>
              <w:t>福建省泉州市石狮市锦尚镇深埕村污控区17号</w:t>
            </w:r>
          </w:p>
        </w:tc>
        <w:tc>
          <w:tcPr>
            <w:tcW w:w="2267" w:type="dxa"/>
          </w:tcPr>
          <w:p>
            <w:pPr>
              <w:rPr>
                <w:lang w:val="de-DE" w:eastAsia="ja-JP"/>
              </w:rPr>
            </w:pPr>
            <w:r>
              <w:t>福建省泉州市石狮市锦尚镇深埕村污控区17号</w:t>
            </w:r>
          </w:p>
        </w:tc>
        <w:tc>
          <w:tcPr>
            <w:tcW w:w="571" w:type="dxa"/>
            <w:vAlign w:val="center"/>
          </w:tcPr>
          <w:p>
            <w:pPr>
              <w:rPr>
                <w:rFonts w:hint="default" w:eastAsia="宋体"/>
                <w:lang w:val="en-US" w:eastAsia="zh-CN"/>
              </w:rPr>
            </w:pPr>
            <w:bookmarkStart w:id="30" w:name="企业人数"/>
            <w:r>
              <w:rPr>
                <w:rFonts w:hint="eastAsia" w:ascii="宋体" w:hAnsi="宋体" w:cs="宋体"/>
                <w:color w:val="000000"/>
                <w:kern w:val="0"/>
                <w:szCs w:val="24"/>
              </w:rPr>
              <w:t>254</w:t>
            </w:r>
            <w:bookmarkEnd w:id="30"/>
          </w:p>
        </w:tc>
        <w:tc>
          <w:tcPr>
            <w:tcW w:w="2803" w:type="dxa"/>
            <w:vAlign w:val="center"/>
          </w:tcPr>
          <w:p>
            <w:pPr>
              <w:rPr>
                <w:lang w:eastAsia="ja-JP"/>
              </w:rPr>
            </w:pPr>
            <w:r>
              <w:rPr>
                <w:rFonts w:hint="eastAsia"/>
                <w:sz w:val="20"/>
                <w:lang w:val="en-US" w:eastAsia="zh-CN"/>
              </w:rPr>
              <w:t>织物面料、织带、纱线的染整加工所</w:t>
            </w:r>
            <w:bookmarkStart w:id="34" w:name="_GoBack"/>
            <w:bookmarkEnd w:id="34"/>
            <w:r>
              <w:rPr>
                <w:rFonts w:hint="eastAsia"/>
                <w:sz w:val="20"/>
                <w:lang w:val="en-US" w:eastAsia="zh-CN"/>
              </w:rPr>
              <w:t>涉及的能源管理活动；</w:t>
            </w:r>
          </w:p>
        </w:tc>
        <w:tc>
          <w:tcPr>
            <w:tcW w:w="669" w:type="dxa"/>
            <w:vAlign w:val="center"/>
          </w:tcPr>
          <w:p>
            <w:pPr>
              <w:rPr>
                <w:rFonts w:hint="default" w:eastAsia="宋体"/>
                <w:lang w:val="en-US" w:eastAsia="zh-CN"/>
              </w:rPr>
            </w:pPr>
            <w:r>
              <w:rPr>
                <w:rFonts w:hint="eastAsia"/>
                <w:lang w:val="en-US" w:eastAsia="zh-CN"/>
              </w:rPr>
              <w:t>GB/T23331-2020</w:t>
            </w: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组员</w:t>
            </w:r>
          </w:p>
        </w:tc>
        <w:tc>
          <w:tcPr>
            <w:tcW w:w="711" w:type="dxa"/>
            <w:vAlign w:val="center"/>
          </w:tcPr>
          <w:p>
            <w:r>
              <w:t>女</w:t>
            </w:r>
          </w:p>
        </w:tc>
        <w:tc>
          <w:tcPr>
            <w:tcW w:w="3870" w:type="dxa"/>
            <w:vAlign w:val="center"/>
          </w:tcPr>
          <w:p>
            <w:r>
              <w:t>2020-N1EnMS-3021820</w:t>
            </w:r>
          </w:p>
        </w:tc>
        <w:tc>
          <w:tcPr>
            <w:tcW w:w="2179" w:type="dxa"/>
            <w:vAlign w:val="center"/>
          </w:tcPr>
          <w:p>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r>
              <w:t>冯玲玲</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ISC-JSZJ-436</w:t>
            </w:r>
          </w:p>
          <w:p>
            <w:pPr>
              <w:rPr>
                <w:rFonts w:ascii="Times New Roman" w:hAnsi="Times New Roman" w:eastAsia="宋体" w:cs="Times New Roman"/>
                <w:kern w:val="2"/>
                <w:sz w:val="21"/>
                <w:szCs w:val="24"/>
                <w:lang w:val="en-US" w:eastAsia="zh-CN" w:bidi="ar-SA"/>
              </w:rPr>
            </w:pPr>
            <w:r>
              <w:t>福州市长乐区庆鸿染整有限公司</w:t>
            </w:r>
          </w:p>
        </w:tc>
        <w:tc>
          <w:tcPr>
            <w:tcW w:w="2179" w:type="dxa"/>
            <w:vAlign w:val="center"/>
          </w:tcPr>
          <w:p>
            <w:pPr>
              <w:rPr>
                <w:rFonts w:ascii="Times New Roman" w:hAnsi="Times New Roman" w:eastAsia="宋体" w:cs="Times New Roman"/>
                <w:kern w:val="2"/>
                <w:sz w:val="21"/>
                <w:szCs w:val="24"/>
                <w:lang w:val="en-US" w:eastAsia="zh-CN" w:bidi="ar-SA"/>
              </w:rPr>
            </w:pPr>
            <w:r>
              <w:t>2.5</w:t>
            </w: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lang w:eastAsia="zh-CN"/>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730" w:type="dxa"/>
            <w:vMerge w:val="continue"/>
            <w:shd w:val="clear" w:color="auto" w:fill="auto"/>
          </w:tcPr>
          <w:p/>
        </w:tc>
        <w:tc>
          <w:tcPr>
            <w:tcW w:w="970" w:type="dxa"/>
            <w:shd w:val="clear" w:color="auto" w:fill="auto"/>
          </w:tcPr>
          <w:p>
            <w:r>
              <w:rPr>
                <w:rFonts w:hint="eastAsia"/>
              </w:rPr>
              <w:t>EnMS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7"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1" locked="0" layoutInCell="1" allowOverlap="1">
                  <wp:simplePos x="0" y="0"/>
                  <wp:positionH relativeFrom="column">
                    <wp:posOffset>-610870</wp:posOffset>
                  </wp:positionH>
                  <wp:positionV relativeFrom="paragraph">
                    <wp:posOffset>6325870</wp:posOffset>
                  </wp:positionV>
                  <wp:extent cx="722630" cy="504190"/>
                  <wp:effectExtent l="0" t="0" r="1270" b="3810"/>
                  <wp:wrapTight wrapText="bothSides">
                    <wp:wrapPolygon>
                      <wp:start x="0" y="0"/>
                      <wp:lineTo x="0" y="21219"/>
                      <wp:lineTo x="21258" y="21219"/>
                      <wp:lineTo x="2125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lum contrast="84000"/>
                          </a:blip>
                          <a:stretch>
                            <a:fillRect/>
                          </a:stretch>
                        </pic:blipFill>
                        <pic:spPr>
                          <a:xfrm>
                            <a:off x="2506980" y="5412105"/>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u w:val="single"/>
              </w:rPr>
            </w:pPr>
            <w:r>
              <w:rPr>
                <w:rFonts w:hint="eastAsia"/>
              </w:rPr>
              <w:t>最高管理者制定了文件化的管理体系方针：</w:t>
            </w:r>
            <w:r>
              <w:rPr>
                <w:rFonts w:hint="eastAsia" w:ascii="Times New Roman" w:hAnsi="Times New Roman" w:cs="Times New Roman"/>
                <w:u w:val="single"/>
              </w:rPr>
              <w:t>遵守法规 清洁生产</w:t>
            </w:r>
            <w:r>
              <w:rPr>
                <w:rFonts w:hint="eastAsia" w:ascii="Times New Roman" w:hAnsi="Times New Roman" w:cs="Times New Roman"/>
                <w:u w:val="single"/>
                <w:lang w:eastAsia="zh-CN"/>
              </w:rPr>
              <w:t>；</w:t>
            </w:r>
            <w:r>
              <w:rPr>
                <w:rFonts w:hint="eastAsia" w:ascii="Times New Roman" w:hAnsi="Times New Roman" w:cs="Times New Roman"/>
                <w:u w:val="single"/>
                <w:lang w:val="en-US" w:eastAsia="zh-CN"/>
              </w:rPr>
              <w:t>节能降耗</w:t>
            </w:r>
            <w:r>
              <w:rPr>
                <w:rFonts w:hint="eastAsia" w:ascii="Times New Roman" w:hAnsi="Times New Roman" w:cs="Times New Roman"/>
                <w:u w:val="single"/>
              </w:rPr>
              <w:t xml:space="preserve"> 创新改造</w:t>
            </w:r>
            <w:r>
              <w:rPr>
                <w:rFonts w:hint="eastAsia" w:ascii="Times New Roman" w:hAnsi="Times New Roman" w:cs="Times New Roman"/>
                <w:u w:val="single"/>
                <w:lang w:eastAsia="zh-CN"/>
              </w:rPr>
              <w:t>；</w:t>
            </w:r>
            <w:r>
              <w:rPr>
                <w:rFonts w:hint="eastAsia" w:ascii="Times New Roman" w:hAnsi="Times New Roman" w:cs="Times New Roman"/>
                <w:u w:val="single"/>
                <w:lang w:val="en-US" w:eastAsia="zh-CN"/>
              </w:rPr>
              <w:t>能耗限额 持续改进；</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EnMS的主管部门是——</w:t>
            </w:r>
            <w:r>
              <w:rPr>
                <w:rFonts w:hint="eastAsia"/>
                <w:lang w:eastAsia="zh-CN"/>
              </w:rPr>
              <w:t>☑</w:t>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pPr>
            <w:r>
              <w:rPr>
                <w:rFonts w:hint="eastAsia"/>
              </w:rPr>
              <w:t>能源管理团队负责人（管理者代表）是——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停电的风险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制定应急预案</w:t>
                  </w:r>
                </w:p>
              </w:tc>
              <w:tc>
                <w:tcPr>
                  <w:tcW w:w="1717" w:type="dxa"/>
                </w:tcPr>
                <w:p>
                  <w:pPr>
                    <w:shd w:val="clear" w:color="auto" w:fill="EBF1DE" w:themeFill="accent3" w:themeFillTint="32"/>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eastAsia="宋体"/>
                      <w:lang w:val="en-US" w:eastAsia="zh-CN"/>
                    </w:rPr>
                    <w:t>天然气供应的风险</w:t>
                  </w:r>
                </w:p>
              </w:tc>
              <w:tc>
                <w:tcPr>
                  <w:tcW w:w="3965" w:type="dxa"/>
                </w:tcPr>
                <w:p>
                  <w:pPr>
                    <w:shd w:val="clear" w:color="auto" w:fill="EBF1DE" w:themeFill="accent3" w:themeFillTint="32"/>
                    <w:rPr>
                      <w:rFonts w:hint="default" w:eastAsia="宋体"/>
                      <w:lang w:val="en-US" w:eastAsia="zh-CN"/>
                    </w:rPr>
                  </w:pPr>
                  <w:r>
                    <w:rPr>
                      <w:rFonts w:hint="eastAsia" w:eastAsia="宋体"/>
                      <w:lang w:val="en-US" w:eastAsia="zh-CN"/>
                    </w:rPr>
                    <w:t>与天然气供应商签订长期合同</w:t>
                  </w:r>
                </w:p>
              </w:tc>
              <w:tc>
                <w:tcPr>
                  <w:tcW w:w="1717" w:type="dxa"/>
                </w:tcPr>
                <w:p>
                  <w:pPr>
                    <w:shd w:val="clear" w:color="auto" w:fill="EBF1DE" w:themeFill="accent3" w:themeFillTint="32"/>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lang w:eastAsia="zh-CN"/>
              </w:rPr>
              <w:t>□</w:t>
            </w:r>
            <w:r>
              <w:rPr>
                <w:rFonts w:hint="eastAsia"/>
              </w:rPr>
              <w:t>蒸汽</w:t>
            </w:r>
            <w:r>
              <w:rPr>
                <w:rFonts w:hint="eastAsia"/>
                <w:lang w:eastAsia="zh-CN"/>
              </w:rPr>
              <w:t>☑</w:t>
            </w:r>
            <w:r>
              <w:rPr>
                <w:rFonts w:hint="eastAsia"/>
              </w:rPr>
              <w:t>天然气□燃料油□燃料气</w:t>
            </w:r>
            <w:r>
              <w:rPr>
                <w:rFonts w:hint="eastAsia"/>
                <w:lang w:eastAsia="zh-CN"/>
              </w:rPr>
              <w:t>☑</w:t>
            </w:r>
            <w:r>
              <w:rPr>
                <w:rFonts w:hint="eastAsia"/>
              </w:rPr>
              <w:t>电力□氮气□风</w:t>
            </w:r>
            <w:r>
              <w:rPr>
                <w:rFonts w:hint="eastAsia"/>
                <w:lang w:eastAsia="zh-CN"/>
              </w:rPr>
              <w:t>☑</w:t>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lang w:eastAsia="zh-CN"/>
              </w:rPr>
              <w:t>☑</w:t>
            </w:r>
            <w:r>
              <w:rPr>
                <w:rFonts w:hint="eastAsia"/>
              </w:rPr>
              <w:t>能源评审报告编号/日期：</w:t>
            </w:r>
            <w:r>
              <w:rPr>
                <w:rFonts w:hint="eastAsia"/>
                <w:lang w:val="en-US" w:eastAsia="zh-CN"/>
              </w:rPr>
              <w:t>2021.10</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w:t>
            </w:r>
            <w:r>
              <w:rPr>
                <w:rFonts w:hint="eastAsia"/>
                <w:lang w:eastAsia="zh-CN"/>
              </w:rPr>
              <w:t>□</w:t>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194"/>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9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930"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eastAsia="宋体" w:cs="Times New Roman"/>
                      <w:lang w:val="en-US" w:eastAsia="zh-CN"/>
                    </w:rPr>
                    <w:t>单位产品能耗</w:t>
                  </w:r>
                  <w:r>
                    <w:rPr>
                      <w:rFonts w:hint="eastAsia" w:ascii="宋体" w:hAnsi="宋体" w:eastAsia="宋体" w:cs="宋体"/>
                      <w:kern w:val="2"/>
                      <w:sz w:val="24"/>
                      <w:szCs w:val="24"/>
                      <w:lang w:val="en-US" w:eastAsia="zh-CN" w:bidi="ar-SA"/>
                    </w:rPr>
                    <w:t>≦</w:t>
                  </w:r>
                  <w:r>
                    <w:rPr>
                      <w:rFonts w:hint="eastAsia" w:ascii="宋体" w:hAnsi="宋体" w:eastAsia="宋体"/>
                      <w:lang w:val="en-US" w:eastAsia="zh-CN"/>
                    </w:rPr>
                    <w:t>433.72kgce/t</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加强生产管理，保持生产稳定；避免经常停车，进行大规模批量生产</w:t>
                  </w:r>
                </w:p>
              </w:tc>
              <w:tc>
                <w:tcPr>
                  <w:tcW w:w="1194"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930"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宋体" w:hAnsi="宋体" w:eastAsia="宋体"/>
                      <w:lang w:val="en-US" w:eastAsia="zh-CN"/>
                    </w:rPr>
                    <w:t>439.54kgce/t</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cs="Times New Roman"/>
                <w:u w:val="single"/>
                <w:lang w:val="en-US" w:eastAsia="zh-CN"/>
              </w:rPr>
            </w:pPr>
            <w:r>
              <w:rPr>
                <w:rFonts w:hint="eastAsia"/>
                <w:lang w:val="en-US" w:eastAsia="zh-CN"/>
              </w:rPr>
              <w:t>建筑</w:t>
            </w:r>
            <w:r>
              <w:rPr>
                <w:rFonts w:hint="eastAsia" w:cs="Times New Roman"/>
                <w:u w:val="single"/>
                <w:lang w:val="en-US" w:eastAsia="zh-CN"/>
              </w:rPr>
              <w:t>面积22500平方米；生产车间5个；库房4个：原线仓库、成品仓库、原料仓库、配件仓库；实验室1个。；</w:t>
            </w:r>
          </w:p>
          <w:p>
            <w:pPr>
              <w:shd w:val="clear" w:color="auto" w:fill="EBF1DE" w:themeFill="accent3" w:themeFillTint="32"/>
              <w:rPr>
                <w:u w:val="single"/>
              </w:rPr>
            </w:pPr>
            <w:r>
              <w:rPr>
                <w:rFonts w:hint="eastAsia"/>
              </w:rPr>
              <w:t>主要生产设备有：</w:t>
            </w:r>
            <w:r>
              <w:rPr>
                <w:rFonts w:hint="eastAsia" w:cs="Times New Roman"/>
                <w:u w:val="single"/>
                <w:lang w:val="en-US" w:eastAsia="zh-CN"/>
              </w:rPr>
              <w:t>染色机、</w:t>
            </w:r>
            <w:r>
              <w:rPr>
                <w:rFonts w:hint="eastAsia" w:ascii="Times New Roman" w:hAnsi="Times New Roman" w:eastAsia="宋体" w:cs="Times New Roman"/>
                <w:u w:val="single"/>
                <w:lang w:val="en-US" w:eastAsia="zh-CN"/>
              </w:rPr>
              <w:t>松式络筒机、紧式络筒机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Times New Roman" w:hAnsi="Times New Roman" w:eastAsia="宋体" w:cs="Times New Roman"/>
                <w:u w:val="single"/>
                <w:lang w:val="en-US" w:eastAsia="zh-CN"/>
              </w:rPr>
              <w:t>空压机、</w:t>
            </w:r>
            <w:r>
              <w:rPr>
                <w:rFonts w:hint="eastAsia" w:cs="Times New Roman"/>
                <w:u w:val="single"/>
                <w:lang w:val="en-US" w:eastAsia="zh-CN"/>
              </w:rPr>
              <w:t>染色机、</w:t>
            </w:r>
            <w:r>
              <w:rPr>
                <w:rFonts w:hint="eastAsia" w:ascii="Times New Roman" w:hAnsi="Times New Roman" w:eastAsia="宋体" w:cs="Times New Roman"/>
                <w:u w:val="single"/>
                <w:lang w:val="en-US" w:eastAsia="zh-CN"/>
              </w:rPr>
              <w:t>松式络筒机、紧式络筒机</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eastAsia="宋体"/>
                <w:u w:val="single"/>
                <w:lang w:val="en-US" w:eastAsia="zh-CN"/>
              </w:rPr>
              <w:t>电表、水表、天然气流量表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eastAsia="宋体"/>
                <w:u w:val="single"/>
                <w:lang w:val="en-US" w:eastAsia="zh-CN"/>
              </w:rPr>
              <w:t>由供应部门负责校检。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操作规程</w:t>
            </w:r>
            <w:r>
              <w:rPr>
                <w:rFonts w:hint="eastAsia" w:ascii="Times New Roman" w:hAnsi="Times New Roman" w:eastAsia="宋体" w:cs="Times New Roman"/>
                <w:lang w:eastAsia="zh-CN"/>
              </w:rPr>
              <w:t>☑</w:t>
            </w:r>
            <w:r>
              <w:rPr>
                <w:rFonts w:hint="eastAsia" w:ascii="Times New Roman" w:hAnsi="Times New Roman" w:eastAsia="宋体" w:cs="Times New Roman"/>
              </w:rPr>
              <w:t>作业文件</w:t>
            </w:r>
            <w:r>
              <w:rPr>
                <w:rFonts w:hint="eastAsia" w:ascii="Times New Roman" w:hAnsi="Times New Roman" w:eastAsia="宋体" w:cs="Times New Roman"/>
                <w:lang w:eastAsia="zh-CN"/>
              </w:rPr>
              <w:t>□</w:t>
            </w:r>
            <w:r>
              <w:rPr>
                <w:rFonts w:hint="eastAsia" w:ascii="Times New Roman" w:hAnsi="Times New Roman" w:eastAsia="宋体" w:cs="Times New Roman"/>
              </w:rPr>
              <w:t>工艺卡片</w:t>
            </w:r>
            <w:r>
              <w:rPr>
                <w:rFonts w:hint="eastAsia" w:ascii="Times New Roman" w:hAnsi="Times New Roman" w:eastAsia="宋体" w:cs="Times New Roman"/>
                <w:lang w:eastAsia="zh-CN"/>
              </w:rPr>
              <w:t>☑</w:t>
            </w:r>
            <w:r>
              <w:rPr>
                <w:rFonts w:hint="eastAsia" w:ascii="Times New Roman" w:hAnsi="Times New Roman" w:eastAsia="宋体" w:cs="Times New Roman"/>
              </w:rPr>
              <w:t>接收准则</w:t>
            </w:r>
            <w:r>
              <w:rPr>
                <w:rFonts w:hint="eastAsia" w:ascii="Times New Roman" w:hAnsi="Times New Roman" w:eastAsia="宋体" w:cs="Times New Roman"/>
                <w:lang w:eastAsia="zh-CN"/>
              </w:rPr>
              <w:t>☑</w:t>
            </w:r>
            <w:r>
              <w:rPr>
                <w:rFonts w:hint="eastAsia" w:ascii="Times New Roman" w:hAnsi="Times New Roman" w:eastAsia="宋体" w:cs="Times New Roman"/>
              </w:rPr>
              <w:t>工艺流程图</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lang w:val="en-US" w:eastAsia="zh-CN"/>
                    </w:rPr>
                    <w:t>天然气</w:t>
                  </w:r>
                  <w:r>
                    <w:rPr>
                      <w:rFonts w:hint="eastAsia"/>
                    </w:rPr>
                    <w:t>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杜绝跑冒滴漏、节约用汽</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利用配套的电机，节约用电。</w:t>
                  </w:r>
                </w:p>
              </w:tc>
              <w:tc>
                <w:tcPr>
                  <w:tcW w:w="3265" w:type="dxa"/>
                </w:tcPr>
                <w:p>
                  <w:pPr>
                    <w:shd w:val="clear" w:color="auto" w:fill="EBF1DE" w:themeFill="accent3" w:themeFillTint="32"/>
                    <w:jc w:val="left"/>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9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39"/>
        <w:gridCol w:w="739"/>
        <w:gridCol w:w="739"/>
        <w:gridCol w:w="739"/>
        <w:gridCol w:w="739"/>
        <w:gridCol w:w="739"/>
        <w:gridCol w:w="739"/>
        <w:gridCol w:w="739"/>
        <w:gridCol w:w="73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6"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3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9"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46"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39" w:type="dxa"/>
            <w:shd w:val="clear" w:color="auto" w:fill="EBF1DE" w:themeFill="accent3" w:themeFillTint="32"/>
            <w:vAlign w:val="center"/>
          </w:tcPr>
          <w:p>
            <w:pPr>
              <w:shd w:val="clear" w:color="auto" w:fill="EBF1DE" w:themeFill="accent3" w:themeFillTint="32"/>
            </w:pPr>
            <w:r>
              <w:rPr>
                <w:rFonts w:hint="eastAsia"/>
              </w:rPr>
              <w:t>7.2</w:t>
            </w:r>
          </w:p>
        </w:tc>
        <w:tc>
          <w:tcPr>
            <w:tcW w:w="739" w:type="dxa"/>
            <w:shd w:val="clear" w:color="auto" w:fill="EBF1DE" w:themeFill="accent3" w:themeFillTint="32"/>
            <w:vAlign w:val="center"/>
          </w:tcPr>
          <w:p>
            <w:pPr>
              <w:shd w:val="clear" w:color="auto" w:fill="EBF1DE" w:themeFill="accent3" w:themeFillTint="32"/>
            </w:pPr>
            <w:r>
              <w:rPr>
                <w:rFonts w:hint="eastAsia"/>
              </w:rPr>
              <w:t>7.3</w:t>
            </w:r>
          </w:p>
        </w:tc>
        <w:tc>
          <w:tcPr>
            <w:tcW w:w="739" w:type="dxa"/>
            <w:shd w:val="clear" w:color="auto" w:fill="EBF1DE" w:themeFill="accent3" w:themeFillTint="32"/>
            <w:vAlign w:val="center"/>
          </w:tcPr>
          <w:p>
            <w:pPr>
              <w:shd w:val="clear" w:color="auto" w:fill="EBF1DE" w:themeFill="accent3" w:themeFillTint="32"/>
            </w:pPr>
            <w:r>
              <w:rPr>
                <w:rFonts w:hint="eastAsia"/>
              </w:rPr>
              <w:t>7.4</w:t>
            </w:r>
          </w:p>
        </w:tc>
        <w:tc>
          <w:tcPr>
            <w:tcW w:w="739" w:type="dxa"/>
            <w:shd w:val="clear" w:color="auto" w:fill="EBF1DE" w:themeFill="accent3" w:themeFillTint="32"/>
            <w:vAlign w:val="center"/>
          </w:tcPr>
          <w:p>
            <w:pPr>
              <w:shd w:val="clear" w:color="auto" w:fill="EBF1DE" w:themeFill="accent3" w:themeFillTint="32"/>
            </w:pPr>
            <w:r>
              <w:rPr>
                <w:rFonts w:hint="eastAsia"/>
              </w:rPr>
              <w:t>7.5</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6"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39" w:type="dxa"/>
            <w:shd w:val="clear" w:color="auto" w:fill="EBF1DE" w:themeFill="accent3" w:themeFillTint="32"/>
            <w:vAlign w:val="center"/>
          </w:tcPr>
          <w:p>
            <w:pPr>
              <w:shd w:val="clear" w:color="auto" w:fill="EBF1DE" w:themeFill="accent3" w:themeFillTint="32"/>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46"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39" w:type="dxa"/>
            <w:shd w:val="clear" w:color="auto" w:fill="EBF1DE" w:themeFill="accent3" w:themeFillTint="32"/>
            <w:vAlign w:val="center"/>
          </w:tcPr>
          <w:p>
            <w:pPr>
              <w:shd w:val="clear" w:color="auto" w:fill="EBF1DE" w:themeFill="accent3" w:themeFillTint="32"/>
            </w:pPr>
            <w:r>
              <w:rPr>
                <w:rFonts w:hint="eastAsia"/>
              </w:rPr>
              <w:t>8.3</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39"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46"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p>
        </w:tc>
        <w:tc>
          <w:tcPr>
            <w:tcW w:w="7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p>
        </w:tc>
        <w:tc>
          <w:tcPr>
            <w:tcW w:w="746"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39" w:type="dxa"/>
            <w:shd w:val="clear" w:color="auto" w:fill="EBF1DE" w:themeFill="accent3" w:themeFillTint="32"/>
            <w:vAlign w:val="center"/>
          </w:tcPr>
          <w:p>
            <w:pPr>
              <w:shd w:val="clear" w:color="auto" w:fill="EBF1DE" w:themeFill="accent3" w:themeFillTint="32"/>
              <w:rPr>
                <w:lang w:eastAsia="ja-JP"/>
              </w:rPr>
            </w:pPr>
          </w:p>
        </w:tc>
        <w:tc>
          <w:tcPr>
            <w:tcW w:w="746"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D24793B"/>
    <w:rsid w:val="12B95C68"/>
    <w:rsid w:val="136778B1"/>
    <w:rsid w:val="14094DC7"/>
    <w:rsid w:val="35D14FE9"/>
    <w:rsid w:val="4A851A5C"/>
    <w:rsid w:val="50627AD9"/>
    <w:rsid w:val="5F8479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1</TotalTime>
  <ScaleCrop>false</ScaleCrop>
  <LinksUpToDate>false</LinksUpToDate>
  <CharactersWithSpaces>26902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2021-12-09T09:47:16Z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