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92"/>
        <w:gridCol w:w="270"/>
        <w:gridCol w:w="364"/>
        <w:gridCol w:w="186"/>
        <w:gridCol w:w="680"/>
        <w:gridCol w:w="334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福建石狮晨光化纤染织有限公司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福建省泉州市石狮市锦尚镇深埕村污控区17号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福建省泉州市石狮市锦尚镇深埕村污控区17号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杨婵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18005050720</w:t>
            </w:r>
            <w:bookmarkEnd w:id="4"/>
          </w:p>
        </w:tc>
        <w:tc>
          <w:tcPr>
            <w:tcW w:w="6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519396455@163.com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6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6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1157-2021-EnMs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9" w:name="_GoBack"/>
            <w:r>
              <w:rPr>
                <w:rFonts w:hint="eastAsia"/>
                <w:sz w:val="20"/>
                <w:lang w:val="en-US" w:eastAsia="zh-CN"/>
              </w:rPr>
              <w:t>织物面料、织带、纱线的染整加工所涉及的能源管理活动</w:t>
            </w:r>
            <w:bookmarkEnd w:id="29"/>
            <w:r>
              <w:rPr>
                <w:rFonts w:hint="eastAsia"/>
                <w:sz w:val="20"/>
                <w:lang w:val="en-US" w:eastAsia="zh-CN"/>
              </w:rPr>
              <w:t>；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2.5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102-2013能源管理体系 纺织企业认证要求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2021年12月05日 上午至2021年12月07日 上午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2.5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远程审核于2021年12月05日 上午至2021年12月07日 上午(共2.5天)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1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6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11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李丽英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6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冯玲玲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福州市长乐区庆鸿染整有限公司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6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15906049286</w:t>
            </w:r>
          </w:p>
        </w:tc>
        <w:tc>
          <w:tcPr>
            <w:tcW w:w="111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冯玲玲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福州市长乐区庆鸿染整有限公司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1564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11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15906049286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326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1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2021.12.4</w:t>
            </w:r>
          </w:p>
        </w:tc>
        <w:tc>
          <w:tcPr>
            <w:tcW w:w="2326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2021.12.5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97" w:tblpY="93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65"/>
        <w:gridCol w:w="837"/>
        <w:gridCol w:w="4988"/>
        <w:gridCol w:w="143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2021.12.05</w:t>
            </w: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8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4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（其中12:00-13:00午餐）</w:t>
            </w:r>
          </w:p>
        </w:tc>
        <w:tc>
          <w:tcPr>
            <w:tcW w:w="837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管理层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策划、过程识别和策划及实施、确定认证范围、领导承诺及职责权限、管理方针和目标及目标完成情况、适用法律法规识别、风险机制的建立和控制情况、不符合纠正及持续改进、管评、资源、监视测量、</w:t>
            </w:r>
            <w:r>
              <w:rPr>
                <w:rFonts w:hint="eastAsia" w:ascii="宋体" w:hAnsi="宋体"/>
                <w:color w:val="auto"/>
                <w:sz w:val="18"/>
              </w:rPr>
              <w:t>管理层有关的管理体系控制及运行活动等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（国家/地方监督抽查情况；相关方投诉及处理情况；一阶段问题验证，验证企业相关资质证明的有效性；）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 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4.1/4.2/4.3/4.4/5.1/5.2/5.3/6.1/6.2/7.1/9.1.1/9.3/10.1/10.2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采购部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能源管理体系职责和权限、目标指标方案、设备维护保养计划及实施、落后设备淘汰、外包方采购中的因素控制、能源采购及合格供方评价、合同评审、不符合及纠正措施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机电科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:5.3/6.2/8.1/8.3/10.1  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2021.12.06</w:t>
            </w:r>
          </w:p>
        </w:tc>
        <w:tc>
          <w:tcPr>
            <w:tcW w:w="965" w:type="dxa"/>
            <w:vMerge w:val="restart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17:00</w:t>
            </w: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（其中12:00-13:00午餐）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行政部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能源管理体系职责和权限、目标指标方案、沟通、成文信息、因素、能力意识、运行控制、 内审、不符合及纠正措施、</w:t>
            </w:r>
            <w:r>
              <w:rPr>
                <w:rFonts w:hint="eastAsia" w:ascii="宋体" w:hAnsi="宋体" w:eastAsiaTheme="minorEastAsia"/>
                <w:color w:val="auto"/>
                <w:sz w:val="18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:5.3/6.2/7.2/7.3/7.5/8.1/9.2/10.1 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职责和权限、目标方案、能源评审、绩效参数及基准、数据收集计划、运行控制现场经济运行控制、监视测量、不符合及纠正措施；能源设计；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En:5.3/6.2/6.3/6.4/6.5/6.6/7.4/8.1/8.2/9.1.1/10.1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2021.12.07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11:30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财务部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职责和权限、目标方案、运行控制现场经济运行控制、不符合及纠正措施；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继续审核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En:5.3/6.2/6.3/6.4/6.5/6.6/7.4/8.1/8.2/9.1.1/10.1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7259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与管理层沟通审核发现，开末次会议</w:t>
            </w:r>
          </w:p>
        </w:tc>
        <w:tc>
          <w:tcPr>
            <w:tcW w:w="111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1E4B4F"/>
    <w:rsid w:val="0CEC444E"/>
    <w:rsid w:val="22FF0FF8"/>
    <w:rsid w:val="4A0C1FAB"/>
    <w:rsid w:val="62C1323F"/>
    <w:rsid w:val="713111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2021-12-07T00:18:13Z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