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581"/>
        <w:gridCol w:w="945"/>
        <w:gridCol w:w="2550"/>
        <w:gridCol w:w="441"/>
        <w:gridCol w:w="864"/>
        <w:gridCol w:w="20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7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四川省琳尔职业服饰有限公司</w:t>
            </w:r>
            <w:bookmarkEnd w:id="7"/>
          </w:p>
        </w:tc>
        <w:tc>
          <w:tcPr>
            <w:tcW w:w="13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O：04.05.02;04.05.05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蒋晓</w:t>
            </w:r>
            <w:r>
              <w:rPr>
                <w:rFonts w:hint="eastAsia"/>
                <w:sz w:val="21"/>
                <w:szCs w:val="21"/>
              </w:rPr>
              <w:t>玲</w:t>
            </w:r>
          </w:p>
        </w:tc>
        <w:tc>
          <w:tcPr>
            <w:tcW w:w="9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E：04.05.02;04.05.05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O：04.05.02;04.05.05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生产流程：排唛→裁剪→粘合→缝纫→剪线头→整烫→检验→包装入库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特殊/关键过程：粘合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生产过程的风险及控制措施：</w:t>
            </w:r>
            <w:r>
              <w:rPr>
                <w:rFonts w:hint="eastAsia"/>
                <w:b/>
                <w:sz w:val="20"/>
                <w:lang w:val="en-US" w:eastAsia="zh-CN"/>
              </w:rPr>
              <w:t>排版控制：控制尺寸和布料数量；粘合</w:t>
            </w:r>
            <w:r>
              <w:rPr>
                <w:rFonts w:hint="eastAsia"/>
                <w:b/>
                <w:sz w:val="20"/>
              </w:rPr>
              <w:t>控制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控制粘衬机温度和压力；缝纫控制：针码均匀，大小规范，线路顺直；整烫控制：做到三无一杜绝，确保布料整齐划一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需确认过程：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粘合</w:t>
            </w:r>
            <w:r>
              <w:rPr>
                <w:rFonts w:hint="eastAsia"/>
                <w:b/>
                <w:sz w:val="20"/>
              </w:rPr>
              <w:t>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潜在火灾爆炸、噪声排放、固体废弃物排放；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烫伤、机械伤害、火灾；采取管理方案和预案措施管理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，中华人民共和国计量法，中华人民共和国标准化法，中华人民共和国环境保护法，中华人民共和国安全生产法，中华人民共和国消防法，机织学生服GB/T 23328-2009，针织学生服GB/T 22854-2009，国家纺织产品基本安全技术规范GB 18401-2010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</w:t>
            </w:r>
            <w:r>
              <w:rPr>
                <w:rFonts w:hint="eastAsia"/>
                <w:b/>
                <w:sz w:val="20"/>
                <w:lang w:eastAsia="zh-CN"/>
              </w:rPr>
              <w:t>机织学生服GB/T 23328-2009，针织学生服GB/T 22854-2009， GB 31701-2015婴幼儿及儿童纺织产品安全技术规范，</w:t>
            </w:r>
            <w:r>
              <w:rPr>
                <w:rFonts w:hint="eastAsia"/>
                <w:b/>
                <w:sz w:val="20"/>
                <w:lang w:val="en-US" w:eastAsia="zh-CN"/>
              </w:rPr>
              <w:t>对面料质量，含量，成品尺寸等进行检验。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93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58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393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eastAsia="中國龍中黑體"/>
          <w:lang w:eastAsia="zh-CN"/>
        </w:rPr>
      </w:pPr>
      <w:r>
        <w:rPr>
          <w:rFonts w:hint="eastAsia" w:eastAsia="中國龍中黑體"/>
          <w:lang w:eastAsia="zh-CN"/>
        </w:rPr>
        <w:drawing>
          <wp:inline distT="0" distB="0" distL="114300" distR="114300">
            <wp:extent cx="6187440" cy="8757285"/>
            <wp:effectExtent l="0" t="0" r="0" b="5715"/>
            <wp:docPr id="3" name="图片 3" descr="琳尔二阶段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琳尔二阶段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BB003C"/>
    <w:rsid w:val="289F2E17"/>
    <w:rsid w:val="61BE6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2021-12-23T13:39:47Z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