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0205-2019-2021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65"/>
        <w:gridCol w:w="595"/>
        <w:gridCol w:w="1035"/>
        <w:gridCol w:w="1260"/>
        <w:gridCol w:w="139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给水设备耐压强度试验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1MPa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0.2MPa</w:t>
            </w:r>
          </w:p>
        </w:tc>
        <w:tc>
          <w:tcPr>
            <w:tcW w:w="229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29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10" w:type="dxa"/>
            <w:gridSpan w:val="3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(0-1.6)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No:KY11-7.5-M-1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给水设备耐压强度试验过程控制规范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周才君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</w:rPr>
              <w:t>给水设备耐压强度试验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</w:rPr>
              <w:t>给水设备耐压强度试验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符合   □有缺陷    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5293360</wp:posOffset>
            </wp:positionH>
            <wp:positionV relativeFrom="paragraph">
              <wp:posOffset>69215</wp:posOffset>
            </wp:positionV>
            <wp:extent cx="762000" cy="27305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3184525</wp:posOffset>
            </wp:positionH>
            <wp:positionV relativeFrom="paragraph">
              <wp:posOffset>52705</wp:posOffset>
            </wp:positionV>
            <wp:extent cx="281305" cy="216535"/>
            <wp:effectExtent l="0" t="0" r="10795" b="1206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030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2021-12-03T03:14:52Z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7A889B78F3234A429A20226BAEC71B23</vt:lpwstr>
  </property>
</Properties>
</file>