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9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455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过程与活动、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涉及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条款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受审核部门：生技部           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 xml:space="preserve"> 主管领导：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张世伟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 xml:space="preserve">          陪同人员：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赵美美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审核员：</w:t>
            </w:r>
            <w:r>
              <w:rPr>
                <w:rFonts w:hint="eastAsia" w:ascii="楷体" w:hAnsi="楷体" w:eastAsia="楷体" w:cs="楷体"/>
                <w:color w:val="000000"/>
                <w:sz w:val="21"/>
                <w:szCs w:val="21"/>
                <w:lang w:eastAsia="zh-CN"/>
              </w:rPr>
              <w:t>周文廷</w:t>
            </w:r>
            <w:r>
              <w:rPr>
                <w:rFonts w:hint="eastAsia" w:ascii="楷体" w:hAnsi="楷体" w:eastAsia="楷体" w:cs="楷体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            审核时间：202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2.4.10-11</w:t>
            </w:r>
          </w:p>
        </w:tc>
        <w:tc>
          <w:tcPr>
            <w:tcW w:w="1134" w:type="dxa"/>
            <w:vMerge w:val="continue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审核条款：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Q5.3/6.2/7.1.3/7.1.4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/7.1.5/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8.1/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8.3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8.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5.1/8.5.2/8.5.3/8.5.4/8.5.6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/8.6/8.7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</w:p>
          <w:p>
            <w:pPr>
              <w:spacing w:line="300" w:lineRule="exact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E5.3/6.2/6.1.2/8.1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8.2</w:t>
            </w:r>
          </w:p>
        </w:tc>
        <w:tc>
          <w:tcPr>
            <w:tcW w:w="1134" w:type="dxa"/>
            <w:vMerge w:val="continue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组织的岗位、职责权限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QE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5.3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FF0000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部门负责人：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张世伟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查企业提供的资料《岗位任职要求》中，规定了公司各个岗位的主要职责和相关要求。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生技部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部的主要职责有：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在生产过程中，协调、支持相关部门贯彻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管理方针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和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管理目标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的有效运行，向客户提供合格的产品。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正确贯彻国家有关质量技术标准、技术政策，为产品生产提供有效的技术文件和有关工艺规程、检验标准等。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执行本公司有关质量工作的规定，协助有关质量部门做好质量管理工作，对生产过程加以控制，保持生产正常运行。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负责本公司的设备管理及产品标识和可追溯性的归口管理工作，引进产品新技术，产品更新和产品技术攻关，并组织实施。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负责做好成品搬运，贮存防护和交付发运工作。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与负责人沟通，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生技部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经理明确其基本职责和权限。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管理目标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QE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6.2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部门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管理目标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：                                           考核情况（2021年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2-4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季度）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质量目标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作业人员持证上岗率100%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                                 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100%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生产计划准时完成率≥99%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                                 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100%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一次交付合格率100%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                                     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100%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生产设备完好率≥99%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                                     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100%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5、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监视和测量设备定期校验率≥95%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                         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100%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6、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不合格品评审率100%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                                     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100%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环境目标、指标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</w:p>
          <w:p>
            <w:pPr>
              <w:numPr>
                <w:ilvl w:val="0"/>
                <w:numId w:val="1"/>
              </w:num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消防器材完好率100%，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                                       100%</w:t>
            </w:r>
          </w:p>
          <w:p>
            <w:pPr>
              <w:numPr>
                <w:ilvl w:val="0"/>
                <w:numId w:val="1"/>
              </w:num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火灾发生率为“0”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                                     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0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固体废弃物统一处理率达100%，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100%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噪声、废气合规排放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                                            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100%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5、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环保设备完好率100%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                                            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100%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从目前的统计结果来看，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2021年度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基本达到目标要求。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制定了2022年度目标，与2021年相同，查2022年1季度目标完成情况，已完成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环境因素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E6.1.2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提供《环境因素识别评价表》，涉及生技部的包括：</w:t>
            </w:r>
          </w:p>
          <w:p>
            <w:pP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焊接</w:t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ab/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烟尘的挥发</w:t>
            </w:r>
          </w:p>
          <w:p>
            <w:pP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焊接</w:t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ab/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热辐射</w:t>
            </w:r>
          </w:p>
          <w:p>
            <w:pP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焊接</w:t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ab/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噪声排放</w:t>
            </w:r>
          </w:p>
          <w:p>
            <w:pP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焊接</w:t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ab/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焊渣排放</w:t>
            </w:r>
          </w:p>
          <w:p>
            <w:pP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焊接</w:t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ab/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废料排放</w:t>
            </w:r>
          </w:p>
          <w:p>
            <w:pP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焊接</w:t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ab/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产品有害物质超标的污染</w:t>
            </w:r>
          </w:p>
          <w:p>
            <w:pP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焊接</w:t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ab/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焊材料中有机溶济的挥发</w:t>
            </w:r>
          </w:p>
          <w:p>
            <w:pP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下料、切割</w:t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ab/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材料消耗</w:t>
            </w:r>
          </w:p>
          <w:p>
            <w:pP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下料、切割</w:t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ab/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下脚料、屑的废弃</w:t>
            </w:r>
          </w:p>
          <w:p>
            <w:pP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下料、切割</w:t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ab/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噪声</w:t>
            </w:r>
          </w:p>
          <w:p>
            <w:pP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下料、切割</w:t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ab/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粉尘的排放</w:t>
            </w:r>
          </w:p>
          <w:p>
            <w:pP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采购产品检验过程</w:t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ab/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不合格的废弃</w:t>
            </w:r>
          </w:p>
          <w:p>
            <w:pP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产品检验过程</w:t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ab/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包装物的废弃</w:t>
            </w:r>
          </w:p>
          <w:p>
            <w:pP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消防用水消耗</w:t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ab/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资源的消耗</w:t>
            </w:r>
          </w:p>
          <w:p>
            <w:pP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灭火器消耗</w:t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ab/>
            </w:r>
            <w: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  <w:t>资源的消耗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。。。。。。</w:t>
            </w:r>
          </w:p>
          <w:p>
            <w:pP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通过判断法评价出重要环境因素，提供《重要环境因素清单》，识别重要环境因素4项，包括：固体废弃物排放、潜在火灾的发生、噪声的排放、废气的排放。</w:t>
            </w:r>
          </w:p>
          <w:p>
            <w:pPr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识别、评价准确。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Y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基础设施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Q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7.1.3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基础设施：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企业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自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建办公用房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，占地面积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约200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平米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车间：车间总面积1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00平米、分为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个车间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一间约800平米、一间约600平米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）；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配备有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办公用房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、车间、员工宿舍等基础设施，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1）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办公主要设施：电脑、电话、一体机等，满足办公需求；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2）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主要生产设备：普通车床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平台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龙门铣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切割机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移动万向摇臂钻床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25毫米万向摇臂钻床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牛头刨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刨床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电焊机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二保焊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机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等，满足生产需求。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设备的保养：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查《设备年度保养计划》规定保养的计划时间。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查《设备检修记录》保养的内容、时间、检修人员，按计划完成。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特种设备：门式起重机5T、16吨，各一台，已在河北特种设备服务平台备案，下次审核关注检测情况，3吨一下4台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drawing>
                <wp:inline distT="0" distB="0" distL="114300" distR="114300">
                  <wp:extent cx="2470785" cy="1175385"/>
                  <wp:effectExtent l="0" t="0" r="5715" b="5715"/>
                  <wp:docPr id="1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785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运行环境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Q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7.1.4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●运行环境：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自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建办公用房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，占地面积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约200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平米、布局合理，场所卫生干净整洁，工作环境良好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车间：车间总面积1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00平米、分为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个车间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一间约800平米、一间约600平米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，设备按生产流程定位，布局合理，摆放有序，工作环境良好。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满足需求。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2160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监视和测量资源</w:t>
            </w:r>
          </w:p>
        </w:tc>
        <w:tc>
          <w:tcPr>
            <w:tcW w:w="960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Q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7.1.5</w:t>
            </w:r>
          </w:p>
        </w:tc>
        <w:tc>
          <w:tcPr>
            <w:tcW w:w="10455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建立有《监视和测量设备台帐》监视测量仪器有：X射线探伤仪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游标卡尺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钢直尺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里氏硬度计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焊接检验尺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内测千分尺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框式水平仪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百分表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涂层测厚仪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钢卷尺等，满足检验需求。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没有用于监测的计算机软件。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企业编制有《计量器具校准规程》</w:t>
            </w:r>
          </w:p>
          <w:p>
            <w:pPr>
              <w:pStyle w:val="12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企业委托邢台市计量测试所对计量器具进行了鉴定和校准，有效期至2022.10.28</w:t>
            </w:r>
          </w:p>
          <w:p>
            <w:pPr>
              <w:pStyle w:val="12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详见扫描件</w:t>
            </w:r>
          </w:p>
          <w:p>
            <w:pPr>
              <w:pStyle w:val="12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该公司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生技部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负责监视和测量设备的管理。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使用过程中没有发生检测设备偏离校准状态现象。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运行的策划和控制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Q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8.1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策划了生产流程：</w:t>
            </w:r>
          </w:p>
          <w:p>
            <w:pPr>
              <w:numPr>
                <w:ilvl w:val="0"/>
                <w:numId w:val="2"/>
              </w:numP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启闭机生产流程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：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原材料采购（壳体铸造（外包）、钢材、电机等）--机械加工（涡轮、蜗杆、底座等）--组装--测试--入库</w:t>
            </w:r>
          </w:p>
          <w:p>
            <w:pPr>
              <w:numPr>
                <w:ilvl w:val="0"/>
                <w:numId w:val="2"/>
              </w:num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闸门的生产流程：原材料（闸框铸件、门体铸件采购）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---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机械加工（闸框、门体）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---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组装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----检验---入库</w:t>
            </w:r>
          </w:p>
          <w:p>
            <w:pPr>
              <w:pStyle w:val="12"/>
              <w:numPr>
                <w:ilvl w:val="0"/>
                <w:numId w:val="2"/>
              </w:num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拦污栅生产流程：钢板下料--焊接成型--焊接检测--喷涂（外包）--检验--入库</w:t>
            </w:r>
          </w:p>
          <w:p>
            <w:pPr>
              <w:pStyle w:val="12"/>
              <w:numPr>
                <w:ilvl w:val="0"/>
                <w:numId w:val="2"/>
              </w:num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原材料采购--机械加工（框架、栅条、耙齿等的加工）--组装--测试--入库</w:t>
            </w:r>
          </w:p>
          <w:p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确定产品和服务的要求：客户要求；技术协议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及与产品相关的标准规范：</w:t>
            </w:r>
          </w:p>
          <w:p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SL381-2007《水利水电工程启闭机制造安装及验收规范 》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GB/T14173-2008《水利水电工程钢闸门制造安装及验收规范》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SL105-2007《水工金属结构防腐蚀规范》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GB/T19866-2005《焊接工艺规程及评定的一般原则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》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5、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SL382-2007《水利水电工程清污机型式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基本参数 技术条件》</w:t>
            </w:r>
          </w:p>
          <w:p>
            <w:pPr>
              <w:pStyle w:val="12"/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。。。。。。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等标准相关内容进行生产。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制定目标，目标基本合理、可测量、可达到。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策划所需资源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1、其中主要生产设备有：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普通车床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平台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龙门铣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切割机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移动万向摇臂钻床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25毫米万向摇臂钻床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牛头刨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刨床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电焊机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二保焊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机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等，满足生产需求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2、检测设备主要有：X射线探伤仪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游标卡尺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钢直尺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里氏硬度计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焊接检验尺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内测千分尺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框式水平仪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百分表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涂层测厚仪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钢卷尺等，满足检验需求。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3、确定胜任人员需求，经过培训、考核合格后上岗；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运行环境：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自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建办公用房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，占地面积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约200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平米、布局合理，场所卫生干净整洁，工作环境良好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车间：车间总面积1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00平米、分为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个车间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一间约800平米、一间约600平米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，设备按生产流程定位，布局合理，摆放有序，工作环境良好。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●过程控制策划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1、遵照岗位职责、工艺流程、图纸等作业指导文件实施过程控制。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2、产品通过检验来对产品实现过程进行控制。生产过程中由负责人组织进行检查，产品完成后由客户进行验收，符合要求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3、策划了产品检验记录等，记录均保期3年。由生产部统一汇总交行政部存储。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4、通过识别与评价对公司目标和战略方向相关，影响其实现质量管理体系预期结果的各种内外部环境因素，有效应对风险和机遇。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5、目前外包过程：热处理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铸铁件、表面处理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6、策划适合组织体系运行需要，未发生更改，策划情况符合标准要求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●产品实现策划的输出的信息充分，输出内容满足标准要求和企业实际。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生产和服务提供的控制</w:t>
            </w:r>
          </w:p>
          <w:p>
            <w:pPr>
              <w:pStyle w:val="2"/>
              <w:rPr>
                <w:rFonts w:hint="default" w:eastAsia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运行空着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8.5.1</w:t>
            </w:r>
          </w:p>
          <w:p>
            <w:pPr>
              <w:pStyle w:val="2"/>
              <w:rPr>
                <w:rFonts w:hint="default" w:eastAsia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E8.1</w:t>
            </w:r>
          </w:p>
        </w:tc>
        <w:tc>
          <w:tcPr>
            <w:tcW w:w="10455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sym w:font="Wingdings 2" w:char="F098"/>
            </w:r>
            <w:r>
              <w:rPr>
                <w:rFonts w:hint="eastAsia"/>
              </w:rPr>
              <w:t>企业提供的资料显示生产程序：</w:t>
            </w:r>
            <w:r>
              <w:rPr>
                <w:rFonts w:hint="eastAsia"/>
                <w:lang w:val="en-US" w:eastAsia="zh-CN"/>
              </w:rPr>
              <w:t>办公室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  <w:lang w:eastAsia="zh-CN"/>
              </w:rPr>
              <w:t>生技部</w:t>
            </w:r>
            <w:r>
              <w:rPr>
                <w:rFonts w:hint="eastAsia"/>
              </w:rPr>
              <w:t>共同对客户提出的要求进行评审，确定产品的数量、质量要求、交货期限及其它要求；然后向</w:t>
            </w:r>
            <w:r>
              <w:rPr>
                <w:rFonts w:hint="eastAsia"/>
                <w:lang w:eastAsia="zh-CN"/>
              </w:rPr>
              <w:t>生技部</w:t>
            </w:r>
            <w:r>
              <w:rPr>
                <w:rFonts w:hint="eastAsia"/>
              </w:rPr>
              <w:t>传递交货通知，</w:t>
            </w:r>
            <w:r>
              <w:rPr>
                <w:rFonts w:hint="eastAsia"/>
                <w:lang w:eastAsia="zh-CN"/>
              </w:rPr>
              <w:t>生技部</w:t>
            </w:r>
            <w:r>
              <w:rPr>
                <w:rFonts w:hint="eastAsia"/>
              </w:rPr>
              <w:t>根据通知的内容，受控条件：得到图纸、操作规程，特殊过程使用作业指导书等。使用设备和量具，进行测量。根据订货要求，下达任务书。</w:t>
            </w:r>
          </w:p>
          <w:p>
            <w:pPr>
              <w:pStyle w:val="12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2369185" cy="1956435"/>
                  <wp:effectExtent l="0" t="0" r="5715" b="12065"/>
                  <wp:docPr id="1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195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drawing>
                <wp:inline distT="0" distB="0" distL="114300" distR="114300">
                  <wp:extent cx="2197735" cy="2006600"/>
                  <wp:effectExtent l="0" t="0" r="12065" b="0"/>
                  <wp:docPr id="1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735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sym w:font="Wingdings 2" w:char="F098"/>
            </w:r>
            <w:r>
              <w:rPr>
                <w:rFonts w:hint="eastAsia"/>
              </w:rPr>
              <w:t>询问车间负责人对生产计划较清楚。</w:t>
            </w:r>
            <w:r>
              <w:rPr>
                <w:rFonts w:hint="eastAsia"/>
                <w:lang w:eastAsia="zh-CN"/>
              </w:rPr>
              <w:t>生技部</w:t>
            </w:r>
            <w:r>
              <w:rPr>
                <w:rFonts w:hint="eastAsia"/>
              </w:rPr>
              <w:t>负责人负责协调生产的各项事宜。产品检验完成后记录产品数量，通知供销部发货。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sym w:font="Wingdings 2" w:char="F098"/>
            </w:r>
            <w:r>
              <w:rPr>
                <w:rFonts w:hint="eastAsia"/>
              </w:rPr>
              <w:t>产品和服务的要求：按照客户提出的要求、技术协议、设计图纸进行生产，加工过程中参考机械加工手册、机械加工通用技术规范、机械加工通用检验规范</w:t>
            </w:r>
            <w:r>
              <w:rPr>
                <w:rFonts w:hint="eastAsia"/>
                <w:lang w:val="en-US" w:eastAsia="zh-CN"/>
              </w:rPr>
              <w:t>及与产品相关的标准规范：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</w:t>
            </w:r>
            <w:r>
              <w:rPr>
                <w:rFonts w:hint="eastAsia"/>
              </w:rPr>
              <w:t>SL381-2007《水利水电工程启闭机制造安装及验收规范 》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2、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GB/T14173-2008《水利水电工程钢闸门制造安装及验收规范》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3、</w:t>
            </w:r>
            <w:r>
              <w:rPr>
                <w:rFonts w:hint="eastAsia"/>
              </w:rPr>
              <w:t>SL105-2007《水工金属结构防腐蚀规范》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4、</w:t>
            </w:r>
            <w:r>
              <w:rPr>
                <w:rFonts w:hint="eastAsia"/>
              </w:rPr>
              <w:t>GB/T19866-2005《焊接工艺规程及评定的一般原则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》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5、</w:t>
            </w:r>
            <w:r>
              <w:rPr>
                <w:rFonts w:hint="eastAsia"/>
              </w:rPr>
              <w:t>SL382-2007《水利水电工程清污机型式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基本参数 技术条件》相关内容进行生产。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sym w:font="Wingdings 2" w:char="F098"/>
            </w:r>
            <w:r>
              <w:rPr>
                <w:rFonts w:hint="eastAsia"/>
              </w:rPr>
              <w:t>主要生产检验设备有：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主要生产设备：普通车床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平台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龙门铣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切割机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移动万向摇臂钻床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25毫米万向摇臂钻床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牛头刨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刨床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电焊机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二保焊</w:t>
            </w:r>
            <w:r>
              <w:rPr>
                <w:rFonts w:hint="eastAsia"/>
                <w:lang w:val="en-US" w:eastAsia="zh-CN"/>
              </w:rPr>
              <w:t>机</w:t>
            </w:r>
            <w:r>
              <w:rPr>
                <w:rFonts w:hint="eastAsia"/>
              </w:rPr>
              <w:t>等，满足生产需求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检测设备主要有：X射线探伤仪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游标卡尺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钢直尺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里氏硬度计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焊接检验尺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内测千分尺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框式水平仪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百分表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涂层测厚仪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钢卷尺等，满足检验需求；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sym w:font="Wingdings 2" w:char="F098"/>
            </w:r>
            <w:r>
              <w:rPr>
                <w:rFonts w:hint="eastAsia"/>
              </w:rPr>
              <w:t>生产过程：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--</w:t>
            </w:r>
            <w:r>
              <w:rPr>
                <w:rFonts w:hint="eastAsia"/>
                <w:lang w:val="en-US" w:eastAsia="zh-CN"/>
              </w:rPr>
              <w:t>启闭机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  <w:lang w:val="en-US" w:eastAsia="zh-CN"/>
              </w:rPr>
              <w:t>QLSD-8T</w:t>
            </w:r>
            <w:r>
              <w:rPr>
                <w:rFonts w:hint="eastAsia"/>
              </w:rPr>
              <w:t>）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1、生产工艺：</w:t>
            </w:r>
            <w:r>
              <w:rPr>
                <w:rFonts w:hint="eastAsia"/>
                <w:lang w:val="en-US" w:eastAsia="zh-CN"/>
              </w:rPr>
              <w:t>原材料采购（壳体铸造（外包）、钢材、电机等）--机械加工（涡轮、蜗杆、底座等）--组装--测试--入库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2、过程控制情况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a)</w:t>
            </w:r>
            <w:r>
              <w:rPr>
                <w:rFonts w:hint="eastAsia"/>
                <w:lang w:val="en-US" w:eastAsia="zh-CN"/>
              </w:rPr>
              <w:t>壳体（铸铁件）：铸铁件的毛坯生产：外包，查2022.3.6毛坯壳体的铸件控制，有检验报告，检验情况：材质单、尺寸符合图纸要求，</w:t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查2022.3.10壳体机械加工记录，加工依据：图纸，使用设备：刨床、钻床、车床，工序卡显示：各工序操作人员、检验人员、时间等内容，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b)</w:t>
            </w:r>
            <w:r>
              <w:rPr>
                <w:rFonts w:hint="eastAsia"/>
                <w:lang w:val="en-US" w:eastAsia="zh-CN"/>
              </w:rPr>
              <w:t>涡轮</w:t>
            </w:r>
            <w:r>
              <w:rPr>
                <w:rFonts w:hint="eastAsia"/>
              </w:rPr>
              <w:t>：制作依据:图纸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材质：45#钢，生产设备：车床、滚齿机、铣床，工序卡显示：各工序操作人员、生产时间：2022.3.10，检验：常建华，加工过程主要控制内容：尺寸，要求：尺寸符合图纸要求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C)蜗杆：制作依据：图纸，材质：45#钢，生产设备：车床、铣床等，工序卡显示：各工序操作人员、生产时间：2022.3.13，检验：常建华，加工过程主要控制内容：尺寸，要求：尺寸符合图纸要求</w:t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d)配件热处理（蜗杆、涡轮等）：该工序外包，对外包过程的控制，选择合格供方企业，提供技术数据和要求，查过程控制记录，控制内容：调质后材质、硬度，结论：符合技术要求</w:t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e)组装：操作依据：作业指导书，操作：张**、常**，日期：2022.3.20</w:t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f)空载试运转：</w:t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运行情况：</w:t>
            </w:r>
          </w:p>
          <w:p>
            <w:pPr>
              <w:pStyle w:val="12"/>
              <w:ind w:firstLine="48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空载试运转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手摇部分应转动灵活平稳，无卡阻现象</w:t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行程开关动作灵活准确</w:t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机箱接触面无漏油现象</w:t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电动机正反转时无振动现象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--</w:t>
            </w:r>
            <w:r>
              <w:rPr>
                <w:rFonts w:hint="eastAsia"/>
                <w:lang w:val="en-US" w:eastAsia="zh-CN"/>
              </w:rPr>
              <w:t>闸门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  <w:lang w:val="en-US" w:eastAsia="zh-CN"/>
              </w:rPr>
              <w:t>4米×3米铸铁闸门</w:t>
            </w:r>
            <w:r>
              <w:rPr>
                <w:rFonts w:hint="eastAsia"/>
              </w:rPr>
              <w:t>）</w:t>
            </w:r>
          </w:p>
          <w:p>
            <w:pPr>
              <w:numPr>
                <w:ilvl w:val="0"/>
                <w:numId w:val="3"/>
              </w:numPr>
              <w:rPr>
                <w:rFonts w:hint="eastAsia"/>
              </w:rPr>
            </w:pPr>
            <w:r>
              <w:rPr>
                <w:rFonts w:hint="eastAsia"/>
              </w:rPr>
              <w:t>生产工艺：</w:t>
            </w:r>
            <w:r>
              <w:rPr>
                <w:rFonts w:hint="eastAsia"/>
                <w:lang w:val="en-US" w:eastAsia="zh-CN"/>
              </w:rPr>
              <w:t>原材料（闸框铸件、门体铸件采购）</w:t>
            </w:r>
            <w:r>
              <w:rPr>
                <w:rFonts w:hint="eastAsia"/>
              </w:rPr>
              <w:t>---</w:t>
            </w:r>
            <w:r>
              <w:rPr>
                <w:rFonts w:hint="eastAsia"/>
                <w:lang w:val="en-US" w:eastAsia="zh-CN"/>
              </w:rPr>
              <w:t>机械加工（闸框、门体）</w:t>
            </w:r>
            <w:r>
              <w:rPr>
                <w:rFonts w:hint="eastAsia"/>
              </w:rPr>
              <w:t>---</w:t>
            </w:r>
            <w:r>
              <w:rPr>
                <w:rFonts w:hint="eastAsia"/>
                <w:lang w:val="en-US" w:eastAsia="zh-CN"/>
              </w:rPr>
              <w:t>组装</w:t>
            </w:r>
            <w:r>
              <w:rPr>
                <w:rFonts w:hint="eastAsia"/>
              </w:rPr>
              <w:t>----检验---入库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2、过程控制情况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a)</w:t>
            </w:r>
            <w:r>
              <w:rPr>
                <w:rFonts w:hint="eastAsia"/>
                <w:lang w:val="en-US" w:eastAsia="zh-CN"/>
              </w:rPr>
              <w:t>闸框、闸板（铸铁件）：铸铁件的毛坯生产：外包，查2022.3.8毛坯壳体的铸件控制，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技术要求：不得有降低强度和有损外观的铸造缺陷</w:t>
            </w:r>
          </w:p>
          <w:p>
            <w:pPr>
              <w:ind w:firstLine="1050" w:firstLineChars="5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闸板表面凹凸形状应≤闸板厚度的1/20，其面积≤40cm2,每m2不超过2处</w:t>
            </w:r>
          </w:p>
          <w:p>
            <w:pPr>
              <w:ind w:firstLine="1050" w:firstLineChars="5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闸框表面凹凸形状应≤闸框厚度的1/15，其面积≤60cm2,每m2不超过2处 、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检验情况：材质单、尺寸、外观符合图纸及技术要求，</w:t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查2022.3.12闸框、闸板机械加工记录，加工依据：图纸，使用设备：龙门刨床、钻床，工序卡显示：各工序操作人员：常**、赵**、检验人员：常建华、巡检时间：2022.12等内容，</w:t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b)装配：操作依据：作业指导书，操作：宫**、常**，日期：2022.3.16，</w:t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技术要求：1）门板与门框导向槽间的间隙≤16mm</w:t>
            </w:r>
          </w:p>
          <w:p>
            <w:pPr>
              <w:pStyle w:val="12"/>
              <w:ind w:firstLine="1200" w:firstLineChars="5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2）总装后全启全闭2-3次,保证移动灵活</w:t>
            </w:r>
          </w:p>
          <w:p>
            <w:pPr>
              <w:pStyle w:val="12"/>
              <w:ind w:firstLine="1200" w:firstLineChars="5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3）门板在全闭位置时,门板与门框的各楔紧面应同时相互楔紧</w:t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检验情况：符合要求，检验：常建华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--</w:t>
            </w:r>
            <w:r>
              <w:rPr>
                <w:rFonts w:hint="eastAsia"/>
                <w:lang w:val="en-US" w:eastAsia="zh-CN"/>
              </w:rPr>
              <w:t>拦污栅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  <w:lang w:val="en-US" w:eastAsia="zh-CN"/>
              </w:rPr>
              <w:t>2m×3m</w:t>
            </w:r>
            <w:r>
              <w:rPr>
                <w:rFonts w:hint="eastAsia"/>
              </w:rPr>
              <w:t>）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</w:t>
            </w:r>
            <w:r>
              <w:rPr>
                <w:rFonts w:hint="eastAsia"/>
              </w:rPr>
              <w:t>生产工艺：</w:t>
            </w:r>
            <w:r>
              <w:rPr>
                <w:rFonts w:hint="eastAsia"/>
                <w:lang w:val="en-US" w:eastAsia="zh-CN"/>
              </w:rPr>
              <w:t>钢板下料--焊接成型--焊接检测--喷涂（外包）--检验--入库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2、过程控制情况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a)</w:t>
            </w:r>
            <w:r>
              <w:rPr>
                <w:rFonts w:hint="eastAsia"/>
                <w:lang w:val="en-US" w:eastAsia="zh-CN"/>
              </w:rPr>
              <w:t>下料：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栅条下料：操作依据：图纸，操作：侯迎欢，证号：T130530198912230038，作业类别：焊接与热切割、贾文宁，控制内容：尺寸，日期：2022.4.1，检验：常建华</w:t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框架下料：操作依据：图纸，操作：侯迎欢，证号：T130530198912230038，作业类别：焊接与热切割、贾文宁，控制内容：尺寸，日期：2022.4.3，检验：常建华</w:t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b)焊接成型：操作：侯迎欢、贾文宁，操作依据：图纸，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检验情况： </w:t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3604260" cy="3429000"/>
                  <wp:effectExtent l="0" t="0" r="2540" b="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26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检验情况：符合要求，检验：常建华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--</w:t>
            </w:r>
            <w:r>
              <w:rPr>
                <w:rFonts w:hint="eastAsia"/>
                <w:lang w:val="en-US" w:eastAsia="zh-CN"/>
              </w:rPr>
              <w:t>清污机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  <w:lang w:val="en-US" w:eastAsia="zh-CN"/>
              </w:rPr>
              <w:t>HQ-4.5米×8.2米</w:t>
            </w:r>
            <w:r>
              <w:rPr>
                <w:rFonts w:hint="eastAsia"/>
              </w:rPr>
              <w:t>）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</w:t>
            </w:r>
            <w:r>
              <w:rPr>
                <w:rFonts w:hint="eastAsia"/>
              </w:rPr>
              <w:t>生产工艺：</w:t>
            </w:r>
            <w:r>
              <w:rPr>
                <w:rFonts w:hint="eastAsia"/>
                <w:lang w:val="en-US" w:eastAsia="zh-CN"/>
              </w:rPr>
              <w:t>原材料采购--机械加工（框架、栅条、耙齿等的加工）--装配--测试--入库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2、过程控制情况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a)</w:t>
            </w:r>
            <w:r>
              <w:rPr>
                <w:rFonts w:hint="eastAsia"/>
                <w:lang w:val="en-US" w:eastAsia="zh-CN"/>
              </w:rPr>
              <w:t>下料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栅条下料：操作依据：图纸，操作：侯迎欢，证号：T130530198912230038，作业类别：焊接与热切割、贾文宁，控制内容：尺寸，日期：2022.3.21，检验：常建华</w:t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框架下料：操作依据：图纸，操作：侯迎欢，证号：T130530198912230038，作业类别：焊接与热切割、贾文宁，控制内容：尺寸，日期：2022.3.22，检验：常建华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耙齿加工：操作依据：图纸，工序卡显示：操作人员：侯迎欢、贾文宁，生产日期：2022.3.23，检验：常建华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技术要求：</w:t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4870450" cy="1428750"/>
                  <wp:effectExtent l="0" t="0" r="6350" b="635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4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检验结论：合格</w:t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b)装配：操作依据：作业指导书，操作：侯迎欢等 ，日期：2022.3.26，</w:t>
            </w:r>
          </w:p>
          <w:p>
            <w:pPr>
              <w:pStyle w:val="12"/>
              <w:ind w:firstLine="1200" w:firstLineChars="5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技术要求： </w:t>
            </w:r>
          </w:p>
          <w:p>
            <w:pPr>
              <w:pStyle w:val="12"/>
              <w:ind w:firstLine="1200" w:firstLineChars="5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链轮主轴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必须无变形、转动有力，无滑动故障</w:t>
            </w:r>
          </w:p>
          <w:p>
            <w:pPr>
              <w:pStyle w:val="12"/>
              <w:ind w:firstLine="1200" w:firstLineChars="5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减速机、 电机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运转应无发热、无松动部件</w:t>
            </w:r>
          </w:p>
          <w:p>
            <w:pPr>
              <w:pStyle w:val="12"/>
              <w:ind w:firstLine="1200" w:firstLineChars="5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链条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 xml:space="preserve">  应转动零活无异常</w:t>
            </w:r>
          </w:p>
          <w:p>
            <w:pPr>
              <w:pStyle w:val="12"/>
              <w:ind w:firstLine="1200" w:firstLineChars="5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检验情况：符合要求，检验：常建华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C)测试：主要是无负荷试验</w:t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2999105" cy="1171575"/>
                  <wp:effectExtent l="0" t="0" r="10795" b="9525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0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另抽</w:t>
            </w:r>
            <w:r>
              <w:rPr>
                <w:rFonts w:hint="eastAsia"/>
                <w:lang w:val="en-US" w:eastAsia="zh-CN"/>
              </w:rPr>
              <w:t>其他日期、其他规格的产品</w:t>
            </w:r>
            <w:r>
              <w:rPr>
                <w:rFonts w:hint="eastAsia"/>
              </w:rPr>
              <w:t>生产控制记录，均有工艺卡、检验卡等控制资料，其他装置生产控制过程基本相同，故不再赘述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产品的过程控制符合要求</w:t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sym w:font="Wingdings 2" w:char="F098"/>
            </w:r>
            <w:r>
              <w:rPr>
                <w:rFonts w:hint="eastAsia"/>
                <w:lang w:val="en-US" w:eastAsia="zh-CN"/>
              </w:rPr>
              <w:t>现场巡视：</w:t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1、企业</w:t>
            </w:r>
            <w:r>
              <w:rPr>
                <w:rFonts w:hint="eastAsia"/>
              </w:rPr>
              <w:t>自</w:t>
            </w:r>
            <w:r>
              <w:rPr>
                <w:rFonts w:hint="eastAsia"/>
                <w:lang w:val="en-US" w:eastAsia="zh-CN"/>
              </w:rPr>
              <w:t>建办公用房</w:t>
            </w:r>
            <w:r>
              <w:rPr>
                <w:rFonts w:hint="eastAsia"/>
              </w:rPr>
              <w:t>，占地面积</w:t>
            </w:r>
            <w:r>
              <w:rPr>
                <w:rFonts w:hint="eastAsia"/>
                <w:lang w:val="en-US" w:eastAsia="zh-CN"/>
              </w:rPr>
              <w:t>约200</w:t>
            </w:r>
            <w:r>
              <w:rPr>
                <w:rFonts w:hint="eastAsia"/>
              </w:rPr>
              <w:t>平米</w:t>
            </w:r>
            <w:r>
              <w:rPr>
                <w:rFonts w:hint="eastAsia"/>
                <w:lang w:eastAsia="zh-CN"/>
              </w:rPr>
              <w:t>；</w:t>
            </w:r>
            <w:r>
              <w:rPr>
                <w:rFonts w:hint="eastAsia"/>
              </w:rPr>
              <w:t>车间：车间总面积1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</w:rPr>
              <w:t>00平米、分为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个车间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一间约800平米、一间约600平米</w:t>
            </w:r>
            <w:r>
              <w:rPr>
                <w:rFonts w:hint="eastAsia"/>
                <w:lang w:eastAsia="zh-CN"/>
              </w:rPr>
              <w:t>）；</w:t>
            </w:r>
            <w:r>
              <w:rPr>
                <w:rFonts w:hint="eastAsia"/>
              </w:rPr>
              <w:t>配备有</w:t>
            </w:r>
            <w:r>
              <w:rPr>
                <w:rFonts w:hint="eastAsia"/>
                <w:lang w:val="en-US" w:eastAsia="zh-CN"/>
              </w:rPr>
              <w:t>办公用房</w:t>
            </w:r>
            <w:r>
              <w:rPr>
                <w:rFonts w:hint="eastAsia"/>
              </w:rPr>
              <w:t>、车间、员工宿舍等基础设施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、车间按照生产工序流程分为不同的区域，便于工作衔接，车间工序紧张有序，生产设备运行稳定，物品摆放区域有明显的标识，成品存放有序，基本符合要求。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、生产车间通风良好，照明条件基本适宜，产品防护及生产环境满足生产要求。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查其他相关工序的操作规程，符合要求。</w:t>
            </w:r>
          </w:p>
          <w:p>
            <w:pPr>
              <w:numPr>
                <w:ilvl w:val="0"/>
                <w:numId w:val="4"/>
              </w:numPr>
              <w:rPr>
                <w:rFonts w:hint="eastAsia"/>
              </w:rPr>
            </w:pPr>
            <w:r>
              <w:rPr>
                <w:rFonts w:hint="eastAsia"/>
              </w:rPr>
              <w:t>每天完工后由操作员清理场地、保养设备。</w:t>
            </w:r>
          </w:p>
          <w:p>
            <w:pPr>
              <w:pStyle w:val="12"/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392555" cy="1848485"/>
                  <wp:effectExtent l="0" t="0" r="4445" b="571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848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drawing>
                <wp:inline distT="0" distB="0" distL="114300" distR="114300">
                  <wp:extent cx="1451610" cy="1840865"/>
                  <wp:effectExtent l="0" t="0" r="8890" b="63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10" cy="184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drawing>
                <wp:inline distT="0" distB="0" distL="114300" distR="114300">
                  <wp:extent cx="1446530" cy="1849120"/>
                  <wp:effectExtent l="0" t="0" r="1270" b="5080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184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2"/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现场1、丝杠加工        现场2                  现场3</w:t>
            </w:r>
          </w:p>
          <w:p>
            <w:pPr>
              <w:pStyle w:val="12"/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1、丝杠车间常师傅正在进行丝杠的机械加工，加工依据：图纸，张厂长介绍：四缸加工的质量控制点：尺寸及允差、扣距、光洁度等，流程：轴位、丝扣精车--铣键槽--热处理（外包）--涂防锈油--包装，丝杠为提升机的配套部件</w:t>
            </w:r>
          </w:p>
          <w:p>
            <w:pPr>
              <w:pStyle w:val="12"/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现场2、员工正在进行小型拦污栅的焊接，控制点：焊接强度、尺寸等，操作依据：作业指导书，作业现场配备废气收集装置，员工穿工服</w:t>
            </w:r>
          </w:p>
          <w:p>
            <w:pPr>
              <w:pStyle w:val="12"/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现场3员工正在手动进行闸门的钻孔，</w:t>
            </w:r>
          </w:p>
          <w:p>
            <w:pPr>
              <w:pStyle w:val="12"/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459865" cy="1936750"/>
                  <wp:effectExtent l="0" t="0" r="635" b="6350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93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drawing>
                <wp:inline distT="0" distB="0" distL="114300" distR="114300">
                  <wp:extent cx="1465580" cy="1931035"/>
                  <wp:effectExtent l="0" t="0" r="7620" b="12065"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93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drawing>
                <wp:inline distT="0" distB="0" distL="114300" distR="114300">
                  <wp:extent cx="1452245" cy="1950085"/>
                  <wp:effectExtent l="0" t="0" r="8255" b="5715"/>
                  <wp:docPr id="1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45" cy="195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drawing>
                <wp:inline distT="0" distB="0" distL="114300" distR="114300">
                  <wp:extent cx="1555750" cy="1968500"/>
                  <wp:effectExtent l="0" t="0" r="6350" b="0"/>
                  <wp:docPr id="1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2"/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提升机及丝杠          拦污栅成品         闸门铸铁件           闸门、闸框半成品</w:t>
            </w:r>
          </w:p>
          <w:p>
            <w:pPr>
              <w:pStyle w:val="12"/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562100" cy="2074545"/>
                  <wp:effectExtent l="0" t="0" r="0" b="8255"/>
                  <wp:docPr id="2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07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2"/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清污机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sym w:font="Wingdings 2" w:char="F098"/>
            </w:r>
            <w:r>
              <w:rPr>
                <w:rFonts w:hint="eastAsia"/>
              </w:rPr>
              <w:t>外包过程：喷涂、热处理、铸件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企业针对喷涂过程采取了下列控制措施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对供方进行了评价（包括对供方设备能力、人员能力的确认、对供方的技术水平了解等）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对相关人员进行了培训（包括喷涂工艺的基本知识；喷涂、热处理产品检验的基本知识）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编制了针对喷涂、热处理产品检验的作业指导书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sym w:font="Wingdings 2" w:char="F098"/>
            </w:r>
            <w:r>
              <w:rPr>
                <w:rFonts w:hint="eastAsia"/>
              </w:rPr>
              <w:t>管理手册规定了需确认过程识别的要求，提供《过程确认准则》，企业目前生产环节特殊过程：焊接。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--查焊接过程确认：对焊接过程编制了作业指导书、对相关人员进行了培训（资格上岗）、对电焊机进行了检查、保养，焊接过程的确认符合要求。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sym w:font="Wingdings 2" w:char="F098"/>
            </w:r>
            <w:r>
              <w:rPr>
                <w:rFonts w:hint="eastAsia"/>
              </w:rPr>
              <w:t xml:space="preserve">人员，经过培训合格后上岗, 均有5年工作经验, 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sym w:font="Wingdings 2" w:char="F098"/>
            </w:r>
            <w:r>
              <w:rPr>
                <w:rFonts w:hint="eastAsia"/>
              </w:rPr>
              <w:t>以上过程根据图纸和客户技术要求以及相应的国家标准、行业标准、企业标准等资料；进行产品质量控制。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sym w:font="Wingdings 2" w:char="F098"/>
            </w:r>
            <w:r>
              <w:rPr>
                <w:rFonts w:hint="eastAsia"/>
              </w:rPr>
              <w:t>质量控制程序：原材料进厂检验合格后投入使用、工序不合格不转序、所有工作没有完成前不交付、交付后发现的不合格包修。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sym w:font="Wingdings 2" w:char="F098"/>
            </w:r>
            <w:r>
              <w:rPr>
                <w:rFonts w:hint="eastAsia"/>
              </w:rPr>
              <w:t>目前上述情况均无变化，暂不需要再确认。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■生产过程中使用设备有</w:t>
            </w:r>
            <w:r>
              <w:rPr>
                <w:rFonts w:hint="eastAsia"/>
                <w:lang w:eastAsia="zh-CN"/>
              </w:rPr>
              <w:t>电焊机、</w:t>
            </w:r>
            <w:r>
              <w:rPr>
                <w:rFonts w:hint="eastAsia"/>
                <w:lang w:val="en-US" w:eastAsia="zh-CN"/>
              </w:rPr>
              <w:t>钻床、冲床、切割机</w:t>
            </w:r>
            <w:r>
              <w:rPr>
                <w:rFonts w:hint="eastAsia"/>
              </w:rPr>
              <w:t>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环保设施有</w:t>
            </w:r>
            <w:r>
              <w:rPr>
                <w:rFonts w:hint="eastAsia"/>
                <w:lang w:val="en-US" w:eastAsia="zh-CN"/>
              </w:rPr>
              <w:t>焊烟除尘器、</w:t>
            </w:r>
            <w:r>
              <w:rPr>
                <w:rFonts w:hint="eastAsia"/>
              </w:rPr>
              <w:t>减震基础、消防器材等，进行日常维护保养，定期检查风机电机和传动系统；清理吸附装置内杂物，检查吸附装置各部位气密性等，目前使用情况良好。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■生产噪声的排放控制：主要噪声有</w:t>
            </w:r>
            <w:r>
              <w:rPr>
                <w:rFonts w:hint="eastAsia"/>
                <w:lang w:eastAsia="zh-CN"/>
              </w:rPr>
              <w:t>电焊机、</w:t>
            </w:r>
            <w:r>
              <w:rPr>
                <w:rFonts w:hint="eastAsia"/>
                <w:lang w:val="en-US" w:eastAsia="zh-CN"/>
              </w:rPr>
              <w:t>冲床、切割机</w:t>
            </w:r>
            <w:r>
              <w:rPr>
                <w:rFonts w:hint="eastAsia"/>
              </w:rPr>
              <w:t>等设备运行过程中产生的机械性噪声，在购置设备时选用低噪声设备，采取厂房屏蔽，安装消声器等措施后，尽可能减小设备噪声。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■生产和生活固废分类统一处理：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生产过程中固废包括废原料/废原材料包装袋/废机油/废棉纱等，进行了分类存放，按可回收和不可回收分别放置，设置分类标识。生产过程中的废包装袋，定期按照可回收垃圾处理；</w:t>
            </w:r>
          </w:p>
          <w:p>
            <w:pPr>
              <w:pStyle w:val="2"/>
              <w:rPr>
                <w:rFonts w:hint="eastAsia"/>
              </w:rPr>
            </w:pPr>
            <w:r>
              <w:rPr>
                <w:rFonts w:hint="eastAsia"/>
              </w:rPr>
              <w:t>■废气排放控制：废气主要来源于</w:t>
            </w:r>
            <w:r>
              <w:rPr>
                <w:rFonts w:hint="eastAsia"/>
                <w:lang w:val="en-US" w:eastAsia="zh-CN"/>
              </w:rPr>
              <w:t>焊接产生的废气</w:t>
            </w:r>
            <w:r>
              <w:rPr>
                <w:rFonts w:hint="eastAsia"/>
              </w:rPr>
              <w:t>，通过</w:t>
            </w:r>
            <w:r>
              <w:rPr>
                <w:rFonts w:hint="eastAsia"/>
                <w:lang w:val="en-US" w:eastAsia="zh-CN"/>
              </w:rPr>
              <w:t>除尘器活性炭吸附</w:t>
            </w:r>
            <w:r>
              <w:rPr>
                <w:rFonts w:hint="eastAsia"/>
              </w:rPr>
              <w:t>进行处理，排放浓度达标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atLeast"/>
        </w:trPr>
        <w:tc>
          <w:tcPr>
            <w:tcW w:w="2160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标识和可追溯性</w:t>
            </w:r>
          </w:p>
        </w:tc>
        <w:tc>
          <w:tcPr>
            <w:tcW w:w="960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Q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8.5.2</w:t>
            </w:r>
          </w:p>
        </w:tc>
        <w:tc>
          <w:tcPr>
            <w:tcW w:w="10455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车间查看，产品分区域摆放，用标识牌进行区分。原材料、半成品、成品分区存放，产品及检验状态标识符合要求。在生产过程中用《工艺单》进行生产记录，注明产品铭牌：包括：名称、规格、生产日期、加工工序、责任人等， </w:t>
            </w:r>
          </w:p>
          <w:p>
            <w:pPr>
              <w:pStyle w:val="2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出厂产品使用铭牌，</w:t>
            </w:r>
          </w:p>
          <w:p>
            <w:pPr>
              <w:pStyle w:val="2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基本可实现对产品生产批次的追溯。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产品防护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Q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8.5.4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该公司产品无特殊防护要求，主要是防磕碰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贮存环境：仓库清洁，原材料、半成品、成品分区存放，防护措施得当，满足要求。有专门的库管员进行保管，出入库登记手续齐全，管理比较规范。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更改控制</w:t>
            </w:r>
          </w:p>
        </w:tc>
        <w:tc>
          <w:tcPr>
            <w:tcW w:w="960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Q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8.5.6</w:t>
            </w:r>
          </w:p>
        </w:tc>
        <w:tc>
          <w:tcPr>
            <w:tcW w:w="10455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企业目前主要从事启闭机、闸门、拦污栅、清污机的生产，生产流程未发生变化。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根据企业提供的作业指导书、操作规程和生产记录、检验记录、合同评审记录等形成文件的信息来看未发生更改。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若产品的服务发生变更，由供销部、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生技部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填写相应的记录，由供销部、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生技部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领导进行评审，并下发至生产和检验。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生技部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存档。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产品和服务的放行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Q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8.6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●编制了《采购流程与制度》，《监视、测量、分析和评价控制程序》包括每种产品进货检验项目及过程检验和出厂测试等 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收集了产品的相关标准：《气焊焊接工艺规程》； GB/T 19804-2005《焊接结构的一般尺寸公差和形位公差》； GB/T 324-2008 《焊缝符号表示法》； GB/T 1184-1996《形状和位置公差 未注公差值》、GB/T 1804-2000《一般公差 未注公差的线性和角度尺寸的公差》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及与产品相关的标准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SL381-2007《水利水电工程启闭机制造安装及验收规范 》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GB/T14173-2008《水利水电工程钢闸门制造安装及验收规范》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SL105-2007《水工金属结构防腐蚀规范》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GB/T19866-2005《焊接工艺规程及评定的一般原则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》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5、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SL382-2007《水利水电工程清污机型式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基本参数 技术条件》等。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●提供产品进货验证记录：记录了进货情况及检验情况。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——查：2021年11月 9日 原材料检验记录   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产品名称：  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闸框、闸板铸铁件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检验项目： 材质单、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外观、尺寸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等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验证结果：合格   验证人：李鹤  2021..11.9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drawing>
                <wp:inline distT="0" distB="0" distL="114300" distR="114300">
                  <wp:extent cx="3568700" cy="1225550"/>
                  <wp:effectExtent l="0" t="0" r="0" b="6350"/>
                  <wp:docPr id="1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70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——查：202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年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月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日  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产品名称：喷涂  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检验项目：涂层原料品牌、产地、材质（供方提供检测数据）、外观等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验证结果：合格   验证人：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常建华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2.4.3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——查：202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年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月 10日   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产品名称：   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圆钢一批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检验项目： 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材质单、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品牌、合格证、数量、规格等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验证结果：合格   验证人：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常建华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2.3.10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。。。。。。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过程检验：过程检验见8.5.1工序控制记录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成品出厂测试：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——查：202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年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月 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日    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产品名称：螺杆启闭机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规格尺寸：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QLSD-8T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检验项目： 外观、装配、额定功率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等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drawing>
                <wp:inline distT="0" distB="0" distL="114300" distR="114300">
                  <wp:extent cx="6287135" cy="2642235"/>
                  <wp:effectExtent l="0" t="0" r="12065" b="12065"/>
                  <wp:docPr id="1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7135" cy="264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测试结果：外观、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检验项目、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包装符合要求，装配情况符合要求，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——查：202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年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月 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日    </w:t>
            </w:r>
          </w:p>
          <w:p>
            <w:pPr>
              <w:rPr>
                <w:rFonts w:hint="eastAsia" w:ascii="楷体" w:hAnsi="楷体" w:eastAsia="楷体" w:cs="楷体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产品名称：</w:t>
            </w:r>
            <w:r>
              <w:rPr>
                <w:rFonts w:hint="eastAsia" w:ascii="楷体" w:hAnsi="楷体" w:eastAsia="楷体" w:cs="楷体"/>
                <w:b/>
                <w:sz w:val="21"/>
                <w:szCs w:val="21"/>
                <w:lang w:eastAsia="zh-CN"/>
              </w:rPr>
              <w:t>液压式抓斗清污机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规格尺寸：</w:t>
            </w:r>
            <w:r>
              <w:rPr>
                <w:rFonts w:hint="eastAsia" w:ascii="楷体" w:hAnsi="楷体" w:eastAsia="楷体" w:cs="楷体"/>
                <w:b/>
                <w:sz w:val="21"/>
                <w:szCs w:val="21"/>
                <w:lang w:val="en-US" w:eastAsia="zh-CN"/>
              </w:rPr>
              <w:t>XYDQ-1000kg-1500mm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检验项目： 外观、装配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等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drawing>
                <wp:inline distT="0" distB="0" distL="114300" distR="114300">
                  <wp:extent cx="4756785" cy="3054350"/>
                  <wp:effectExtent l="0" t="0" r="5715" b="6350"/>
                  <wp:docPr id="2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785" cy="305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测试结果：外观、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检验项目、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包装符合要求，装配情况符合要求，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——查：202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年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月 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日    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产品名称：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铸铁闸门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规格尺寸：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2米×3米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检验项目： 外观、装配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等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drawing>
                <wp:inline distT="0" distB="0" distL="114300" distR="114300">
                  <wp:extent cx="5180330" cy="1990725"/>
                  <wp:effectExtent l="0" t="0" r="1270" b="3175"/>
                  <wp:docPr id="2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33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2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测试结果：外观、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检验项目、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包装符合要求，装配情况符合要求，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——查：202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年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月 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26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日    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产品名称：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铸铁闸门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规格尺寸：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2米×3米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检验项目： 外观、装配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等</w:t>
            </w:r>
          </w:p>
          <w:p>
            <w:pPr>
              <w:pStyle w:val="12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drawing>
                <wp:inline distT="0" distB="0" distL="114300" distR="114300">
                  <wp:extent cx="6029960" cy="1936115"/>
                  <wp:effectExtent l="0" t="0" r="2540" b="6985"/>
                  <wp:docPr id="26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960" cy="193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2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测试结果：外观、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检验项目、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包装符合要求，装配情况符合要求，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。。。。。。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另抽其他日期、批次的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产品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检验情况，均记录了名称、规格、检验日期、检验结论、检验人员等，有相关人员签字，不再赘述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●企业的检验过程控制符合要求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企业提供了第三方检验报告数份，包括悬挂器、浮箍等产品，详见扫描件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不合格输出的控制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Q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8.7 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编制《不合格品控制程序》，其规定了不合格品的识别、隔离、标识、评审及处置方面的要求。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在产品进货检验中出现的不合格可进行退货处理，在产品交付后出现不合格可进行换货或退货处理。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目前没有发生不合格的情况。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经查，符合要求。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</w:tbl>
    <w:p>
      <w:pPr>
        <w:pStyle w:val="7"/>
      </w:pPr>
      <w:r>
        <w:rPr>
          <w:rFonts w:hint="eastAsia"/>
        </w:rPr>
        <w:t>说明：不符合标注：N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entury">
    <w:altName w:val="Times New Roman"/>
    <w:panose1 w:val="02040604050505020304"/>
    <w:charset w:val="00"/>
    <w:family w:val="roman"/>
    <w:pitch w:val="default"/>
    <w:sig w:usb0="00000000" w:usb1="00000000" w:usb2="00000000" w:usb3="00000000" w:csb0="2000009F" w:csb1="DFD7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7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6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-140335</wp:posOffset>
          </wp:positionV>
          <wp:extent cx="485775" cy="485775"/>
          <wp:effectExtent l="0" t="0" r="9525" b="9525"/>
          <wp:wrapTopAndBottom/>
          <wp:docPr id="16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16"/>
        <w:rFonts w:hint="default"/>
      </w:rPr>
      <w:t>北京国标联合认证有限公司</w:t>
    </w:r>
    <w:r>
      <w:rPr>
        <w:rStyle w:val="16"/>
        <w:rFonts w:hint="default"/>
      </w:rPr>
      <w:tab/>
    </w:r>
    <w:r>
      <w:rPr>
        <w:rStyle w:val="16"/>
        <w:rFonts w:hint="default"/>
      </w:rPr>
      <w:tab/>
    </w:r>
    <w:r>
      <w:rPr>
        <w:rStyle w:val="16"/>
        <w:rFonts w:hint="default"/>
      </w:rPr>
      <w:tab/>
    </w:r>
  </w:p>
  <w:p>
    <w:pPr>
      <w:pStyle w:val="8"/>
      <w:pBdr>
        <w:bottom w:val="none" w:color="auto" w:sz="0" w:space="0"/>
      </w:pBdr>
      <w:spacing w:line="320" w:lineRule="exact"/>
      <w:jc w:val="left"/>
    </w:pPr>
    <w:r>
      <w:pict>
        <v:shape id="_x0000_s1025" o:spid="_x0000_s1025" o:spt="202" type="#_x0000_t202" style="position:absolute;left:0pt;margin-left:554.75pt;margin-top:2.2pt;height:20.2pt;width:172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  <w:p/>
            </w:txbxContent>
          </v:textbox>
        </v:shape>
      </w:pict>
    </w:r>
    <w:r>
      <w:rPr>
        <w:rStyle w:val="16"/>
        <w:rFonts w:hint="default"/>
        <w:w w:val="90"/>
      </w:rPr>
      <w:t>Beijing International Standard united Certification Co.,Ltd.</w:t>
    </w: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529B64"/>
    <w:multiLevelType w:val="singleLevel"/>
    <w:tmpl w:val="62529B6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2539A2B"/>
    <w:multiLevelType w:val="singleLevel"/>
    <w:tmpl w:val="62539A2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253D206"/>
    <w:multiLevelType w:val="singleLevel"/>
    <w:tmpl w:val="6253D206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25508D5"/>
    <w:multiLevelType w:val="singleLevel"/>
    <w:tmpl w:val="625508D5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31126"/>
    <w:rsid w:val="000072F7"/>
    <w:rsid w:val="000151AA"/>
    <w:rsid w:val="00022B65"/>
    <w:rsid w:val="000255B9"/>
    <w:rsid w:val="00040267"/>
    <w:rsid w:val="00046455"/>
    <w:rsid w:val="00050F13"/>
    <w:rsid w:val="0005339C"/>
    <w:rsid w:val="000539EA"/>
    <w:rsid w:val="000542D4"/>
    <w:rsid w:val="00055588"/>
    <w:rsid w:val="000577D3"/>
    <w:rsid w:val="000646B5"/>
    <w:rsid w:val="0007301F"/>
    <w:rsid w:val="00075222"/>
    <w:rsid w:val="0009118A"/>
    <w:rsid w:val="00093C73"/>
    <w:rsid w:val="000A7816"/>
    <w:rsid w:val="000A7959"/>
    <w:rsid w:val="000B4A15"/>
    <w:rsid w:val="000C0B67"/>
    <w:rsid w:val="000C0EC0"/>
    <w:rsid w:val="000C50B1"/>
    <w:rsid w:val="000C6A9B"/>
    <w:rsid w:val="000D03FA"/>
    <w:rsid w:val="000D1141"/>
    <w:rsid w:val="000D33E5"/>
    <w:rsid w:val="000D34F1"/>
    <w:rsid w:val="000D5C6A"/>
    <w:rsid w:val="000F1007"/>
    <w:rsid w:val="000F1A49"/>
    <w:rsid w:val="000F385A"/>
    <w:rsid w:val="000F5D6D"/>
    <w:rsid w:val="00106F54"/>
    <w:rsid w:val="001109C4"/>
    <w:rsid w:val="0011157B"/>
    <w:rsid w:val="00111FFF"/>
    <w:rsid w:val="00113DE6"/>
    <w:rsid w:val="001158A9"/>
    <w:rsid w:val="00117B81"/>
    <w:rsid w:val="00126D9B"/>
    <w:rsid w:val="001337DA"/>
    <w:rsid w:val="00143533"/>
    <w:rsid w:val="0014371C"/>
    <w:rsid w:val="00144A07"/>
    <w:rsid w:val="00150849"/>
    <w:rsid w:val="00152148"/>
    <w:rsid w:val="001566F3"/>
    <w:rsid w:val="00157FD3"/>
    <w:rsid w:val="00160590"/>
    <w:rsid w:val="0016572C"/>
    <w:rsid w:val="00165DEB"/>
    <w:rsid w:val="00175A18"/>
    <w:rsid w:val="00176702"/>
    <w:rsid w:val="0017698F"/>
    <w:rsid w:val="00177FAE"/>
    <w:rsid w:val="001827AE"/>
    <w:rsid w:val="00190E6B"/>
    <w:rsid w:val="00193021"/>
    <w:rsid w:val="00193160"/>
    <w:rsid w:val="001A18AE"/>
    <w:rsid w:val="001A1CAF"/>
    <w:rsid w:val="001A1D0B"/>
    <w:rsid w:val="001A2BA7"/>
    <w:rsid w:val="001B280D"/>
    <w:rsid w:val="001C29CC"/>
    <w:rsid w:val="001C56BD"/>
    <w:rsid w:val="001C6B66"/>
    <w:rsid w:val="001E2103"/>
    <w:rsid w:val="001E3922"/>
    <w:rsid w:val="001F3E39"/>
    <w:rsid w:val="00200AB0"/>
    <w:rsid w:val="00202D1E"/>
    <w:rsid w:val="00204146"/>
    <w:rsid w:val="00204D3D"/>
    <w:rsid w:val="00213979"/>
    <w:rsid w:val="002147BF"/>
    <w:rsid w:val="00214A5E"/>
    <w:rsid w:val="002160D9"/>
    <w:rsid w:val="00220E0A"/>
    <w:rsid w:val="00224B05"/>
    <w:rsid w:val="00225667"/>
    <w:rsid w:val="002257FB"/>
    <w:rsid w:val="00225C9C"/>
    <w:rsid w:val="002403BA"/>
    <w:rsid w:val="002459AE"/>
    <w:rsid w:val="002513BC"/>
    <w:rsid w:val="00253B61"/>
    <w:rsid w:val="00254DAD"/>
    <w:rsid w:val="0025588C"/>
    <w:rsid w:val="002558C8"/>
    <w:rsid w:val="00264BAF"/>
    <w:rsid w:val="00273515"/>
    <w:rsid w:val="002759EA"/>
    <w:rsid w:val="00285222"/>
    <w:rsid w:val="00291F40"/>
    <w:rsid w:val="00294585"/>
    <w:rsid w:val="002A2C14"/>
    <w:rsid w:val="002B5B45"/>
    <w:rsid w:val="002B7ACC"/>
    <w:rsid w:val="002C0EC0"/>
    <w:rsid w:val="002D47D9"/>
    <w:rsid w:val="002E04BD"/>
    <w:rsid w:val="002E6316"/>
    <w:rsid w:val="002F22BC"/>
    <w:rsid w:val="002F60EA"/>
    <w:rsid w:val="00311104"/>
    <w:rsid w:val="00323A2C"/>
    <w:rsid w:val="00331E84"/>
    <w:rsid w:val="00336B92"/>
    <w:rsid w:val="00343A96"/>
    <w:rsid w:val="0034601B"/>
    <w:rsid w:val="0035012C"/>
    <w:rsid w:val="00350DCD"/>
    <w:rsid w:val="00351050"/>
    <w:rsid w:val="00360395"/>
    <w:rsid w:val="00360AA3"/>
    <w:rsid w:val="00363ADF"/>
    <w:rsid w:val="0037106C"/>
    <w:rsid w:val="00371E47"/>
    <w:rsid w:val="003721DC"/>
    <w:rsid w:val="003811E6"/>
    <w:rsid w:val="003835CD"/>
    <w:rsid w:val="003923E8"/>
    <w:rsid w:val="00393E7F"/>
    <w:rsid w:val="00394A42"/>
    <w:rsid w:val="00395583"/>
    <w:rsid w:val="00395D89"/>
    <w:rsid w:val="00396A87"/>
    <w:rsid w:val="003A1710"/>
    <w:rsid w:val="003A7037"/>
    <w:rsid w:val="003B12C9"/>
    <w:rsid w:val="003B135C"/>
    <w:rsid w:val="003B3841"/>
    <w:rsid w:val="003B5EB0"/>
    <w:rsid w:val="003B610D"/>
    <w:rsid w:val="003C0292"/>
    <w:rsid w:val="003C43F5"/>
    <w:rsid w:val="003C67F5"/>
    <w:rsid w:val="003D4A24"/>
    <w:rsid w:val="003D4E40"/>
    <w:rsid w:val="003D6A1B"/>
    <w:rsid w:val="003E7E45"/>
    <w:rsid w:val="003F3863"/>
    <w:rsid w:val="003F6CED"/>
    <w:rsid w:val="003F767D"/>
    <w:rsid w:val="004008ED"/>
    <w:rsid w:val="004205F5"/>
    <w:rsid w:val="00421132"/>
    <w:rsid w:val="00421E82"/>
    <w:rsid w:val="0043078F"/>
    <w:rsid w:val="004347B6"/>
    <w:rsid w:val="00437BF4"/>
    <w:rsid w:val="00437E21"/>
    <w:rsid w:val="00445245"/>
    <w:rsid w:val="00452646"/>
    <w:rsid w:val="004579E9"/>
    <w:rsid w:val="00462996"/>
    <w:rsid w:val="00467C4C"/>
    <w:rsid w:val="00471434"/>
    <w:rsid w:val="00482454"/>
    <w:rsid w:val="00485729"/>
    <w:rsid w:val="0049354D"/>
    <w:rsid w:val="004B2AB1"/>
    <w:rsid w:val="004B7CBA"/>
    <w:rsid w:val="004C2345"/>
    <w:rsid w:val="004C3477"/>
    <w:rsid w:val="004D0E0A"/>
    <w:rsid w:val="004D2B7D"/>
    <w:rsid w:val="004D4390"/>
    <w:rsid w:val="004D4ECF"/>
    <w:rsid w:val="004F3B50"/>
    <w:rsid w:val="004F5422"/>
    <w:rsid w:val="005021D6"/>
    <w:rsid w:val="00506A1D"/>
    <w:rsid w:val="00511B1A"/>
    <w:rsid w:val="005143CF"/>
    <w:rsid w:val="005333AC"/>
    <w:rsid w:val="00533E1C"/>
    <w:rsid w:val="00543A65"/>
    <w:rsid w:val="00543A7A"/>
    <w:rsid w:val="00544BD7"/>
    <w:rsid w:val="0054682B"/>
    <w:rsid w:val="005544C6"/>
    <w:rsid w:val="0058116F"/>
    <w:rsid w:val="00586BA4"/>
    <w:rsid w:val="005870A0"/>
    <w:rsid w:val="005A0B9B"/>
    <w:rsid w:val="005B01A4"/>
    <w:rsid w:val="005B1B5B"/>
    <w:rsid w:val="005B5339"/>
    <w:rsid w:val="005B6371"/>
    <w:rsid w:val="005B7D33"/>
    <w:rsid w:val="005C1929"/>
    <w:rsid w:val="005C274C"/>
    <w:rsid w:val="005C34FF"/>
    <w:rsid w:val="005C7447"/>
    <w:rsid w:val="005D0BD5"/>
    <w:rsid w:val="005D2C21"/>
    <w:rsid w:val="005E4B6B"/>
    <w:rsid w:val="005F05EE"/>
    <w:rsid w:val="005F6369"/>
    <w:rsid w:val="00601CDF"/>
    <w:rsid w:val="0060500C"/>
    <w:rsid w:val="00607309"/>
    <w:rsid w:val="00611B45"/>
    <w:rsid w:val="00613CE6"/>
    <w:rsid w:val="00615C16"/>
    <w:rsid w:val="00617B01"/>
    <w:rsid w:val="006239DA"/>
    <w:rsid w:val="00630194"/>
    <w:rsid w:val="006443D7"/>
    <w:rsid w:val="006479D3"/>
    <w:rsid w:val="006515CB"/>
    <w:rsid w:val="006621BD"/>
    <w:rsid w:val="00662750"/>
    <w:rsid w:val="0066618D"/>
    <w:rsid w:val="006801C2"/>
    <w:rsid w:val="0068317A"/>
    <w:rsid w:val="00686548"/>
    <w:rsid w:val="006934A2"/>
    <w:rsid w:val="0069645D"/>
    <w:rsid w:val="006A3045"/>
    <w:rsid w:val="006A5761"/>
    <w:rsid w:val="006B0601"/>
    <w:rsid w:val="006B200A"/>
    <w:rsid w:val="006B29FD"/>
    <w:rsid w:val="006B6DAD"/>
    <w:rsid w:val="006D0D19"/>
    <w:rsid w:val="006E1231"/>
    <w:rsid w:val="006E2298"/>
    <w:rsid w:val="006F59AE"/>
    <w:rsid w:val="006F719C"/>
    <w:rsid w:val="006F725D"/>
    <w:rsid w:val="0070619B"/>
    <w:rsid w:val="00713182"/>
    <w:rsid w:val="00727D21"/>
    <w:rsid w:val="0073203F"/>
    <w:rsid w:val="007370BD"/>
    <w:rsid w:val="00750C77"/>
    <w:rsid w:val="007533B2"/>
    <w:rsid w:val="00754490"/>
    <w:rsid w:val="0075532E"/>
    <w:rsid w:val="0076103F"/>
    <w:rsid w:val="007618DA"/>
    <w:rsid w:val="007637A7"/>
    <w:rsid w:val="0077146F"/>
    <w:rsid w:val="00780592"/>
    <w:rsid w:val="007806D6"/>
    <w:rsid w:val="00781174"/>
    <w:rsid w:val="00784747"/>
    <w:rsid w:val="007860DE"/>
    <w:rsid w:val="00790291"/>
    <w:rsid w:val="00792FFB"/>
    <w:rsid w:val="00794BB6"/>
    <w:rsid w:val="007964C4"/>
    <w:rsid w:val="007A06FE"/>
    <w:rsid w:val="007A0A36"/>
    <w:rsid w:val="007A2AF5"/>
    <w:rsid w:val="007B5078"/>
    <w:rsid w:val="007B565D"/>
    <w:rsid w:val="007B5A92"/>
    <w:rsid w:val="007B5E09"/>
    <w:rsid w:val="007C1693"/>
    <w:rsid w:val="007D7991"/>
    <w:rsid w:val="007D7BBD"/>
    <w:rsid w:val="007E741E"/>
    <w:rsid w:val="007F120D"/>
    <w:rsid w:val="007F3880"/>
    <w:rsid w:val="007F5B21"/>
    <w:rsid w:val="00802A4E"/>
    <w:rsid w:val="00812687"/>
    <w:rsid w:val="00813787"/>
    <w:rsid w:val="00814F47"/>
    <w:rsid w:val="008159A7"/>
    <w:rsid w:val="008212AB"/>
    <w:rsid w:val="00831126"/>
    <w:rsid w:val="00831560"/>
    <w:rsid w:val="0084384C"/>
    <w:rsid w:val="00854AAA"/>
    <w:rsid w:val="00856118"/>
    <w:rsid w:val="00860B8B"/>
    <w:rsid w:val="0086176F"/>
    <w:rsid w:val="00866E22"/>
    <w:rsid w:val="0087001D"/>
    <w:rsid w:val="0087295A"/>
    <w:rsid w:val="00872B48"/>
    <w:rsid w:val="00873021"/>
    <w:rsid w:val="00874BFE"/>
    <w:rsid w:val="00894CDC"/>
    <w:rsid w:val="0089792D"/>
    <w:rsid w:val="008A7B9B"/>
    <w:rsid w:val="008B0004"/>
    <w:rsid w:val="008C25CF"/>
    <w:rsid w:val="008C70FB"/>
    <w:rsid w:val="008D29E6"/>
    <w:rsid w:val="008D40AC"/>
    <w:rsid w:val="008D5B03"/>
    <w:rsid w:val="008E694B"/>
    <w:rsid w:val="008F5082"/>
    <w:rsid w:val="008F5D8C"/>
    <w:rsid w:val="008F6BA8"/>
    <w:rsid w:val="0090570B"/>
    <w:rsid w:val="00915684"/>
    <w:rsid w:val="00915921"/>
    <w:rsid w:val="009233E4"/>
    <w:rsid w:val="00931D5E"/>
    <w:rsid w:val="0093363E"/>
    <w:rsid w:val="00935B56"/>
    <w:rsid w:val="009403C1"/>
    <w:rsid w:val="00940A18"/>
    <w:rsid w:val="00940E52"/>
    <w:rsid w:val="0094134A"/>
    <w:rsid w:val="00942EE1"/>
    <w:rsid w:val="00946F7A"/>
    <w:rsid w:val="0095310F"/>
    <w:rsid w:val="009533E7"/>
    <w:rsid w:val="00962B69"/>
    <w:rsid w:val="0096373A"/>
    <w:rsid w:val="009655B0"/>
    <w:rsid w:val="00966444"/>
    <w:rsid w:val="00973CE2"/>
    <w:rsid w:val="00976799"/>
    <w:rsid w:val="00977182"/>
    <w:rsid w:val="009772A6"/>
    <w:rsid w:val="0098561F"/>
    <w:rsid w:val="009927C8"/>
    <w:rsid w:val="00993CD3"/>
    <w:rsid w:val="00996CA8"/>
    <w:rsid w:val="009A250C"/>
    <w:rsid w:val="009A338A"/>
    <w:rsid w:val="009A3B85"/>
    <w:rsid w:val="009A7AB2"/>
    <w:rsid w:val="009B4B92"/>
    <w:rsid w:val="009C0BEC"/>
    <w:rsid w:val="009C3D7B"/>
    <w:rsid w:val="009D078E"/>
    <w:rsid w:val="009D7121"/>
    <w:rsid w:val="009F0991"/>
    <w:rsid w:val="009F1B33"/>
    <w:rsid w:val="00A0356E"/>
    <w:rsid w:val="00A0382C"/>
    <w:rsid w:val="00A051FA"/>
    <w:rsid w:val="00A07EA4"/>
    <w:rsid w:val="00A1672F"/>
    <w:rsid w:val="00A16F64"/>
    <w:rsid w:val="00A25B4D"/>
    <w:rsid w:val="00A26D2A"/>
    <w:rsid w:val="00A30389"/>
    <w:rsid w:val="00A35173"/>
    <w:rsid w:val="00A479EB"/>
    <w:rsid w:val="00A51ED7"/>
    <w:rsid w:val="00A53C2D"/>
    <w:rsid w:val="00A63994"/>
    <w:rsid w:val="00A70E9E"/>
    <w:rsid w:val="00A71587"/>
    <w:rsid w:val="00A7274B"/>
    <w:rsid w:val="00A74ED1"/>
    <w:rsid w:val="00A77773"/>
    <w:rsid w:val="00A8021E"/>
    <w:rsid w:val="00AA357E"/>
    <w:rsid w:val="00AA403F"/>
    <w:rsid w:val="00AA5638"/>
    <w:rsid w:val="00AB2870"/>
    <w:rsid w:val="00AB6BFD"/>
    <w:rsid w:val="00AC1D37"/>
    <w:rsid w:val="00AD0A9A"/>
    <w:rsid w:val="00AD234F"/>
    <w:rsid w:val="00AD45DC"/>
    <w:rsid w:val="00AD5EA0"/>
    <w:rsid w:val="00AE348F"/>
    <w:rsid w:val="00AE5C36"/>
    <w:rsid w:val="00AE60EA"/>
    <w:rsid w:val="00AF28DC"/>
    <w:rsid w:val="00AF401E"/>
    <w:rsid w:val="00B10AD3"/>
    <w:rsid w:val="00B17A28"/>
    <w:rsid w:val="00B20057"/>
    <w:rsid w:val="00B30B36"/>
    <w:rsid w:val="00B31198"/>
    <w:rsid w:val="00B40914"/>
    <w:rsid w:val="00B42572"/>
    <w:rsid w:val="00B45D34"/>
    <w:rsid w:val="00B50F91"/>
    <w:rsid w:val="00B51E7C"/>
    <w:rsid w:val="00B549FF"/>
    <w:rsid w:val="00B56D60"/>
    <w:rsid w:val="00B61254"/>
    <w:rsid w:val="00B613B1"/>
    <w:rsid w:val="00B758C3"/>
    <w:rsid w:val="00B861A7"/>
    <w:rsid w:val="00B87F5E"/>
    <w:rsid w:val="00BA0DE4"/>
    <w:rsid w:val="00BA2083"/>
    <w:rsid w:val="00BA2BC2"/>
    <w:rsid w:val="00BA2F33"/>
    <w:rsid w:val="00BA5EB0"/>
    <w:rsid w:val="00BA5EE1"/>
    <w:rsid w:val="00BB039F"/>
    <w:rsid w:val="00BB183D"/>
    <w:rsid w:val="00BB27F7"/>
    <w:rsid w:val="00BB28F7"/>
    <w:rsid w:val="00BC1FD0"/>
    <w:rsid w:val="00BC2676"/>
    <w:rsid w:val="00BD10D4"/>
    <w:rsid w:val="00BD50C1"/>
    <w:rsid w:val="00BE0219"/>
    <w:rsid w:val="00BE5248"/>
    <w:rsid w:val="00BF31A8"/>
    <w:rsid w:val="00BF369A"/>
    <w:rsid w:val="00BF57AE"/>
    <w:rsid w:val="00BF6168"/>
    <w:rsid w:val="00BF755C"/>
    <w:rsid w:val="00C03293"/>
    <w:rsid w:val="00C037A3"/>
    <w:rsid w:val="00C03D05"/>
    <w:rsid w:val="00C1225B"/>
    <w:rsid w:val="00C236EE"/>
    <w:rsid w:val="00C31403"/>
    <w:rsid w:val="00C31DEF"/>
    <w:rsid w:val="00C37B44"/>
    <w:rsid w:val="00C438CF"/>
    <w:rsid w:val="00C44E8D"/>
    <w:rsid w:val="00C56EA8"/>
    <w:rsid w:val="00C573A7"/>
    <w:rsid w:val="00C61E8E"/>
    <w:rsid w:val="00C64066"/>
    <w:rsid w:val="00C73D6D"/>
    <w:rsid w:val="00C77A6B"/>
    <w:rsid w:val="00C802DF"/>
    <w:rsid w:val="00C806E8"/>
    <w:rsid w:val="00C8733F"/>
    <w:rsid w:val="00C87370"/>
    <w:rsid w:val="00CA0449"/>
    <w:rsid w:val="00CA0C32"/>
    <w:rsid w:val="00CB1279"/>
    <w:rsid w:val="00CB2079"/>
    <w:rsid w:val="00CB757D"/>
    <w:rsid w:val="00CC2143"/>
    <w:rsid w:val="00CC6495"/>
    <w:rsid w:val="00CC64A5"/>
    <w:rsid w:val="00CD0417"/>
    <w:rsid w:val="00CD0DDA"/>
    <w:rsid w:val="00CD5E51"/>
    <w:rsid w:val="00CE32CB"/>
    <w:rsid w:val="00CF2B2D"/>
    <w:rsid w:val="00D1078C"/>
    <w:rsid w:val="00D11DB4"/>
    <w:rsid w:val="00D21419"/>
    <w:rsid w:val="00D27897"/>
    <w:rsid w:val="00D33242"/>
    <w:rsid w:val="00D4359A"/>
    <w:rsid w:val="00D541B2"/>
    <w:rsid w:val="00D56A6F"/>
    <w:rsid w:val="00D60DA9"/>
    <w:rsid w:val="00D61579"/>
    <w:rsid w:val="00D638B8"/>
    <w:rsid w:val="00D65BDF"/>
    <w:rsid w:val="00D71F64"/>
    <w:rsid w:val="00D72909"/>
    <w:rsid w:val="00D742F1"/>
    <w:rsid w:val="00D75A66"/>
    <w:rsid w:val="00D80256"/>
    <w:rsid w:val="00D80F8B"/>
    <w:rsid w:val="00D9352F"/>
    <w:rsid w:val="00D9367C"/>
    <w:rsid w:val="00DA6608"/>
    <w:rsid w:val="00DA6962"/>
    <w:rsid w:val="00DB0243"/>
    <w:rsid w:val="00DB4DF6"/>
    <w:rsid w:val="00DB5EDB"/>
    <w:rsid w:val="00DB6CCC"/>
    <w:rsid w:val="00DB7A20"/>
    <w:rsid w:val="00DD162A"/>
    <w:rsid w:val="00DD7755"/>
    <w:rsid w:val="00DE020A"/>
    <w:rsid w:val="00DE1259"/>
    <w:rsid w:val="00DE16F3"/>
    <w:rsid w:val="00DE1721"/>
    <w:rsid w:val="00DF13FE"/>
    <w:rsid w:val="00E00701"/>
    <w:rsid w:val="00E04766"/>
    <w:rsid w:val="00E10945"/>
    <w:rsid w:val="00E11C03"/>
    <w:rsid w:val="00E13B34"/>
    <w:rsid w:val="00E17615"/>
    <w:rsid w:val="00E216B0"/>
    <w:rsid w:val="00E31121"/>
    <w:rsid w:val="00E32734"/>
    <w:rsid w:val="00E37EC5"/>
    <w:rsid w:val="00E44492"/>
    <w:rsid w:val="00E465AB"/>
    <w:rsid w:val="00E544AA"/>
    <w:rsid w:val="00E54831"/>
    <w:rsid w:val="00E624C1"/>
    <w:rsid w:val="00E63BBC"/>
    <w:rsid w:val="00E6469E"/>
    <w:rsid w:val="00E65D1C"/>
    <w:rsid w:val="00E70126"/>
    <w:rsid w:val="00E70DD3"/>
    <w:rsid w:val="00E779B7"/>
    <w:rsid w:val="00E82B26"/>
    <w:rsid w:val="00E85B48"/>
    <w:rsid w:val="00E85F75"/>
    <w:rsid w:val="00E97B24"/>
    <w:rsid w:val="00EA2239"/>
    <w:rsid w:val="00EB56A8"/>
    <w:rsid w:val="00EB7446"/>
    <w:rsid w:val="00EC7B17"/>
    <w:rsid w:val="00ED010A"/>
    <w:rsid w:val="00ED2441"/>
    <w:rsid w:val="00ED6004"/>
    <w:rsid w:val="00ED6126"/>
    <w:rsid w:val="00EE14B9"/>
    <w:rsid w:val="00EE1B33"/>
    <w:rsid w:val="00EE1B5A"/>
    <w:rsid w:val="00EE2BB6"/>
    <w:rsid w:val="00F0402D"/>
    <w:rsid w:val="00F15123"/>
    <w:rsid w:val="00F159BC"/>
    <w:rsid w:val="00F24389"/>
    <w:rsid w:val="00F25452"/>
    <w:rsid w:val="00F32CF4"/>
    <w:rsid w:val="00F36448"/>
    <w:rsid w:val="00F37849"/>
    <w:rsid w:val="00F4465A"/>
    <w:rsid w:val="00F464F9"/>
    <w:rsid w:val="00F50D77"/>
    <w:rsid w:val="00F60302"/>
    <w:rsid w:val="00F70B43"/>
    <w:rsid w:val="00F715F4"/>
    <w:rsid w:val="00F72187"/>
    <w:rsid w:val="00F75231"/>
    <w:rsid w:val="00F85947"/>
    <w:rsid w:val="00F92741"/>
    <w:rsid w:val="00F93ABB"/>
    <w:rsid w:val="00F96DCB"/>
    <w:rsid w:val="00FA2D6E"/>
    <w:rsid w:val="00FA3008"/>
    <w:rsid w:val="00FA4A64"/>
    <w:rsid w:val="00FA4D17"/>
    <w:rsid w:val="00FB0ECE"/>
    <w:rsid w:val="00FB2F98"/>
    <w:rsid w:val="00FC03BC"/>
    <w:rsid w:val="00FC22A7"/>
    <w:rsid w:val="00FC35BA"/>
    <w:rsid w:val="00FC6BB0"/>
    <w:rsid w:val="00FD7FC0"/>
    <w:rsid w:val="00FE0015"/>
    <w:rsid w:val="00FE10B5"/>
    <w:rsid w:val="00FE126D"/>
    <w:rsid w:val="00FE306A"/>
    <w:rsid w:val="00FE552E"/>
    <w:rsid w:val="018849C5"/>
    <w:rsid w:val="027D3483"/>
    <w:rsid w:val="059F617F"/>
    <w:rsid w:val="06BF21EB"/>
    <w:rsid w:val="087D41A4"/>
    <w:rsid w:val="0C070C7C"/>
    <w:rsid w:val="0C6B09A1"/>
    <w:rsid w:val="0F796931"/>
    <w:rsid w:val="0FDD017E"/>
    <w:rsid w:val="13806DDC"/>
    <w:rsid w:val="1B14182F"/>
    <w:rsid w:val="24970C1F"/>
    <w:rsid w:val="31DF0644"/>
    <w:rsid w:val="3434730C"/>
    <w:rsid w:val="3B014514"/>
    <w:rsid w:val="414C4CFA"/>
    <w:rsid w:val="41E4191E"/>
    <w:rsid w:val="46BD326D"/>
    <w:rsid w:val="48CC158A"/>
    <w:rsid w:val="49A06372"/>
    <w:rsid w:val="49DA00F0"/>
    <w:rsid w:val="4A9726A2"/>
    <w:rsid w:val="5684559A"/>
    <w:rsid w:val="5DB91C1C"/>
    <w:rsid w:val="5E704132"/>
    <w:rsid w:val="5FAB09B7"/>
    <w:rsid w:val="60BB0735"/>
    <w:rsid w:val="61A54044"/>
    <w:rsid w:val="66736972"/>
    <w:rsid w:val="682545A3"/>
    <w:rsid w:val="712446FD"/>
    <w:rsid w:val="730D6097"/>
    <w:rsid w:val="74A64B28"/>
    <w:rsid w:val="760E7514"/>
    <w:rsid w:val="763E030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spacing w:beforeAutospacing="1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4">
    <w:name w:val="Normal Indent"/>
    <w:basedOn w:val="1"/>
    <w:qFormat/>
    <w:uiPriority w:val="0"/>
    <w:pPr>
      <w:ind w:left="400" w:leftChars="400"/>
    </w:pPr>
    <w:rPr>
      <w:rFonts w:ascii="Century" w:hAnsi="Century" w:eastAsia="MS Mincho"/>
      <w:szCs w:val="24"/>
      <w:lang w:eastAsia="ja-JP"/>
    </w:rPr>
  </w:style>
  <w:style w:type="paragraph" w:styleId="5">
    <w:name w:val="Plain Text"/>
    <w:basedOn w:val="1"/>
    <w:link w:val="18"/>
    <w:qFormat/>
    <w:uiPriority w:val="0"/>
    <w:pPr>
      <w:spacing w:line="360" w:lineRule="auto"/>
      <w:ind w:left="200" w:leftChars="200"/>
    </w:pPr>
    <w:rPr>
      <w:rFonts w:ascii="宋体" w:hAnsi="Courier New" w:cs="Courier New" w:eastAsiaTheme="minorEastAsia"/>
      <w:sz w:val="24"/>
      <w:szCs w:val="21"/>
    </w:rPr>
  </w:style>
  <w:style w:type="paragraph" w:styleId="6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next w:val="1"/>
    <w:link w:val="13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Emphasis"/>
    <w:basedOn w:val="10"/>
    <w:qFormat/>
    <w:uiPriority w:val="20"/>
    <w:rPr>
      <w:i/>
    </w:rPr>
  </w:style>
  <w:style w:type="paragraph" w:customStyle="1" w:styleId="1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13">
    <w:name w:val="页眉 字符"/>
    <w:basedOn w:val="10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字符"/>
    <w:basedOn w:val="10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批注框文本 字符"/>
    <w:basedOn w:val="10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7">
    <w:name w:val="列表段落1"/>
    <w:basedOn w:val="1"/>
    <w:qFormat/>
    <w:uiPriority w:val="99"/>
    <w:pPr>
      <w:ind w:firstLine="420" w:firstLineChars="200"/>
    </w:pPr>
  </w:style>
  <w:style w:type="character" w:customStyle="1" w:styleId="18">
    <w:name w:val="纯文本 字符"/>
    <w:link w:val="5"/>
    <w:qFormat/>
    <w:uiPriority w:val="0"/>
    <w:rPr>
      <w:rFonts w:ascii="宋体" w:hAnsi="Courier New" w:cs="Courier New"/>
      <w:kern w:val="2"/>
      <w:sz w:val="24"/>
      <w:szCs w:val="21"/>
    </w:rPr>
  </w:style>
  <w:style w:type="character" w:customStyle="1" w:styleId="19">
    <w:name w:val="纯文本 Char1"/>
    <w:basedOn w:val="10"/>
    <w:semiHidden/>
    <w:qFormat/>
    <w:uiPriority w:val="99"/>
    <w:rPr>
      <w:rFonts w:ascii="宋体" w:hAnsi="Courier New" w:eastAsia="宋体" w:cs="Courier New"/>
      <w:kern w:val="2"/>
      <w:sz w:val="21"/>
      <w:szCs w:val="21"/>
    </w:rPr>
  </w:style>
  <w:style w:type="character" w:customStyle="1" w:styleId="20">
    <w:name w:val="NormalCharacter"/>
    <w:qFormat/>
    <w:uiPriority w:val="0"/>
  </w:style>
  <w:style w:type="paragraph" w:customStyle="1" w:styleId="21">
    <w:name w:val="列出段落1"/>
    <w:basedOn w:val="1"/>
    <w:qFormat/>
    <w:uiPriority w:val="0"/>
    <w:pPr>
      <w:ind w:firstLine="200" w:firstLineChars="200"/>
    </w:pPr>
    <w:rPr>
      <w:rFonts w:ascii="Calibri" w:hAnsi="Calibri" w:eastAsia="等线" w:cs="Arial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2655</Words>
  <Characters>15136</Characters>
  <Lines>126</Lines>
  <Paragraphs>35</Paragraphs>
  <TotalTime>2</TotalTime>
  <ScaleCrop>false</ScaleCrop>
  <LinksUpToDate>false</LinksUpToDate>
  <CharactersWithSpaces>17756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至鱼</cp:lastModifiedBy>
  <dcterms:modified xsi:type="dcterms:W3CDTF">2022-04-14T07:02:29Z</dcterms:modified>
  <cp:revision>185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commondata">
    <vt:lpwstr>eyJoZGlkIjoiM2Y3MmNiNTA4Y2RiYTNkMzhmODU1Yjg5OTYxMzY5NzMifQ==</vt:lpwstr>
  </property>
  <property fmtid="{D5CDD505-2E9C-101B-9397-08002B2CF9AE}" pid="4" name="ICV">
    <vt:lpwstr>615B4B71B66E408CA2DF6769D1A689DD</vt:lpwstr>
  </property>
</Properties>
</file>