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苏州海宏水泥制品有限公司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0112-2019-2021</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0112-2019-2021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苏州海宏水泥制品有限公司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金美娟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ISC-2019-0539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2021年11月26日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ascii="宋体" w:hAnsi="宋体"/>
                <w:szCs w:val="21"/>
              </w:rPr>
              <w:t>袁菊</w:t>
            </w:r>
            <w:r>
              <w:rPr>
                <w:rFonts w:hint="eastAsia" w:ascii="宋体" w:hAnsi="宋体"/>
                <w:szCs w:val="21"/>
                <w:lang w:eastAsia="zh-CN"/>
              </w:rPr>
              <w:t>，</w:t>
            </w:r>
            <w:r>
              <w:rPr>
                <w:rFonts w:ascii="宋体" w:hAnsi="宋体"/>
                <w:color w:val="000000"/>
                <w:szCs w:val="21"/>
                <w:shd w:val="clear" w:color="auto" w:fill="auto"/>
              </w:rPr>
              <w:t>2021-M1MMS-2274447</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rPr>
              <w:t>ISC[S]0258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cs="宋体"/>
                <w:color w:val="FF0000"/>
                <w:kern w:val="0"/>
                <w:szCs w:val="21"/>
                <w:highlight w:val="none"/>
                <w:lang w:val="en-US" w:eastAsia="zh-CN"/>
              </w:rPr>
            </w:pPr>
            <w:r>
              <w:rPr>
                <w:rFonts w:hint="eastAsia" w:ascii="宋体" w:hAnsi="宋体"/>
                <w:color w:val="auto"/>
                <w:szCs w:val="21"/>
                <w:highlight w:val="none"/>
                <w:lang w:val="en-US" w:eastAsia="zh-CN"/>
              </w:rPr>
              <w:t>管理层/</w:t>
            </w:r>
            <w:r>
              <w:rPr>
                <w:rFonts w:hint="eastAsia" w:ascii="宋体" w:hAnsi="宋体"/>
                <w:color w:val="auto"/>
                <w:szCs w:val="21"/>
                <w:highlight w:val="none"/>
              </w:rPr>
              <w:t>管理者代表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技术部</w:t>
            </w:r>
            <w:r>
              <w:rPr>
                <w:rFonts w:hint="eastAsia" w:ascii="宋体" w:hAnsi="宋体" w:cs="宋体"/>
                <w:kern w:val="0"/>
                <w:szCs w:val="21"/>
                <w:highlight w:val="none"/>
                <w:lang w:val="en-US"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color w:val="auto"/>
                <w:kern w:val="0"/>
                <w:szCs w:val="21"/>
                <w:highlight w:val="none"/>
                <w:lang w:val="en-US" w:eastAsia="zh-CN"/>
              </w:rPr>
              <w:t>采购部、销售部、生产部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公司领导层重视测量管理体系各项工作，配备完善了相关资源和设备</w:t>
      </w:r>
      <w:r>
        <w:rPr>
          <w:rFonts w:hint="eastAsia" w:ascii="宋体" w:hAnsi="宋体" w:eastAsia="宋体" w:cs="宋体"/>
          <w:bCs/>
          <w:color w:val="auto"/>
          <w:kern w:val="0"/>
          <w:sz w:val="24"/>
          <w:szCs w:val="24"/>
          <w:highlight w:val="none"/>
          <w:lang w:val="en-US" w:eastAsia="zh-CN"/>
        </w:rPr>
        <w:t>。企业根据测量体系质量方针，</w:t>
      </w:r>
      <w:r>
        <w:rPr>
          <w:rFonts w:hint="eastAsia" w:ascii="宋体" w:hAnsi="宋体" w:eastAsia="宋体" w:cs="宋体"/>
          <w:bCs/>
          <w:color w:val="auto"/>
          <w:kern w:val="0"/>
          <w:sz w:val="24"/>
          <w:szCs w:val="24"/>
          <w:highlight w:val="none"/>
        </w:rPr>
        <w:t>公司制定了</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项质量目标，质量目标有具体考核</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指标可测量，</w:t>
      </w:r>
      <w:r>
        <w:rPr>
          <w:rFonts w:hint="eastAsia" w:ascii="宋体" w:hAnsi="宋体" w:eastAsia="宋体" w:cs="宋体"/>
          <w:bCs/>
          <w:color w:val="auto"/>
          <w:kern w:val="0"/>
          <w:sz w:val="24"/>
          <w:szCs w:val="24"/>
          <w:highlight w:val="none"/>
          <w:lang w:val="en-US" w:eastAsia="zh-CN"/>
        </w:rPr>
        <w:t>质量目标分解到各部门。经统计2021年1月至9月份</w:t>
      </w:r>
      <w:r>
        <w:rPr>
          <w:rFonts w:hint="eastAsia" w:ascii="宋体" w:hAnsi="宋体" w:eastAsia="宋体" w:cs="宋体"/>
          <w:bCs/>
          <w:color w:val="auto"/>
          <w:kern w:val="0"/>
          <w:sz w:val="24"/>
          <w:szCs w:val="24"/>
          <w:highlight w:val="none"/>
        </w:rPr>
        <w:t>质量目标</w:t>
      </w:r>
      <w:r>
        <w:rPr>
          <w:rFonts w:hint="eastAsia" w:ascii="宋体" w:hAnsi="宋体" w:eastAsia="宋体" w:cs="宋体"/>
          <w:bCs/>
          <w:color w:val="auto"/>
          <w:kern w:val="0"/>
          <w:sz w:val="24"/>
          <w:szCs w:val="24"/>
          <w:highlight w:val="none"/>
          <w:lang w:val="en-US" w:eastAsia="zh-CN"/>
        </w:rPr>
        <w:t>全部</w:t>
      </w:r>
      <w:r>
        <w:rPr>
          <w:rFonts w:hint="eastAsia" w:ascii="宋体" w:hAnsi="宋体" w:eastAsia="宋体" w:cs="宋体"/>
          <w:bCs/>
          <w:color w:val="auto"/>
          <w:kern w:val="0"/>
          <w:sz w:val="24"/>
          <w:szCs w:val="24"/>
          <w:highlight w:val="none"/>
        </w:rPr>
        <w:t>完成。</w:t>
      </w:r>
      <w:r>
        <w:rPr>
          <w:rFonts w:hint="eastAsia" w:ascii="宋体" w:hAnsi="宋体" w:eastAsia="宋体" w:cs="宋体"/>
          <w:bCs/>
          <w:color w:val="auto"/>
          <w:kern w:val="0"/>
          <w:sz w:val="24"/>
          <w:szCs w:val="24"/>
          <w:highlight w:val="none"/>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宋体" w:hAnsi="宋体" w:eastAsia="宋体" w:cs="宋体"/>
          <w:bCs/>
          <w:color w:val="auto"/>
          <w:kern w:val="0"/>
          <w:sz w:val="24"/>
          <w:szCs w:val="24"/>
          <w:highlight w:val="none"/>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276" w:lineRule="auto"/>
        <w:rPr>
          <w:rStyle w:val="9"/>
          <w:rFonts w:hint="eastAsia" w:ascii="宋体" w:eastAsia="宋体"/>
          <w:color w:val="auto"/>
          <w:sz w:val="21"/>
          <w:szCs w:val="21"/>
        </w:rPr>
      </w:pPr>
      <w:r>
        <w:rPr>
          <w:rFonts w:hint="eastAsia" w:asciiTheme="majorEastAsia" w:hAnsiTheme="majorEastAsia" w:eastAsiaTheme="majorEastAsia" w:cstheme="majorEastAsia"/>
          <w:bCs/>
          <w:color w:val="auto"/>
          <w:kern w:val="0"/>
          <w:sz w:val="24"/>
          <w:szCs w:val="24"/>
          <w:highlight w:val="none"/>
          <w:lang w:val="en-US" w:eastAsia="zh-CN"/>
        </w:rPr>
        <w:t>2.1</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公司于2021年9月16日至9月17日组织了公司测量管理体系内部审核，内审分2个组，对公司5个部门和车间进行了审核，本次审核发现1个不符合项，责任单位进行了原因分析，及时组织进行了整改。到目前为止不符合项已全部完成整改。</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2.2企业于2021年10月16日开展了单体系管理评审，会议由公司总经理秦全荣主持，由管理者代表汇报了测量管理体系运行情况。质量部和其他相关职能部门汇报了本部门所做的测量体系相关工作。会议肯定了公司测量管理体系的充分性、有效性和适宜性。形成了管理评审报告。</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3.为持续改进而策划的活动的进展，企业对识别的关键测量过程进行了持续的控制，企业混凝土抗压强度测量过程为关键测量过程，测量过程识别、测量设备配备、检定/校准、验证，测量过程有效性确认，测量不确定度评定、测量过程控制和监视满足要求。企业没有新增关键测量过程。</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a)计量要求的导出和验证：查：混凝土抗压强度测量过程，计量要求导出方法正确，验证满足测量过程要求。祥见附件《计量要求导出及验证记录表》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b)测量不确定评定：查：混凝土抗压强度测量过程，测量不确定度评定方法正确。祥见附件《测量不确定度评定》</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c)有效性确认：查：混凝土抗压强度测量过程有效性确认，满足要求。祥见附件《测量过程有效性确认》</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d)测量过程的控制：查:混凝土抗压强度测量过程，编制了控制规范，对测量人员、测量设备、测量环境进行控制，满足要求。</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e)测量过程的监视：查:混凝土抗压强度测量过程，采用统计技术进行控制和监视测量过程。祥见《测量过程监视记录》</w:t>
      </w:r>
    </w:p>
    <w:p>
      <w:pPr>
        <w:spacing w:line="360" w:lineRule="auto"/>
        <w:rPr>
          <w:rFonts w:hint="eastAsia" w:asciiTheme="majorEastAsia" w:hAnsiTheme="majorEastAsia" w:eastAsiaTheme="majorEastAsia" w:cstheme="majorEastAsia"/>
          <w:bCs/>
          <w:color w:val="auto"/>
          <w:kern w:val="0"/>
          <w:sz w:val="24"/>
          <w:szCs w:val="24"/>
          <w:highlight w:val="none"/>
          <w:lang w:val="en-US" w:eastAsia="zh-CN"/>
        </w:rPr>
      </w:pPr>
      <w:r>
        <w:rPr>
          <w:rFonts w:hint="eastAsia" w:asciiTheme="majorEastAsia" w:hAnsiTheme="majorEastAsia" w:eastAsiaTheme="majorEastAsia" w:cstheme="majorEastAsia"/>
          <w:bCs/>
          <w:color w:val="auto"/>
          <w:kern w:val="0"/>
          <w:sz w:val="24"/>
          <w:szCs w:val="24"/>
          <w:highlight w:val="none"/>
          <w:lang w:val="en-US" w:eastAsia="zh-CN"/>
        </w:rPr>
        <w:t>f)测量设备的溯源：公司未建最高计量标准，企业测量设备由技术质量部负责组织委外检定/校准。公司测量设备委托</w:t>
      </w:r>
      <w:r>
        <w:rPr>
          <w:rFonts w:hint="eastAsia" w:ascii="宋体" w:hAnsi="宋体" w:eastAsia="宋体" w:cs="宋体"/>
          <w:color w:val="auto"/>
          <w:kern w:val="0"/>
          <w:sz w:val="24"/>
          <w:szCs w:val="24"/>
        </w:rPr>
        <w:t>苏州市吴江区检验检测中心</w:t>
      </w:r>
      <w:r>
        <w:rPr>
          <w:rFonts w:hint="eastAsia" w:asciiTheme="majorEastAsia" w:hAnsiTheme="majorEastAsia" w:eastAsiaTheme="majorEastAsia" w:cstheme="majorEastAsia"/>
          <w:bCs/>
          <w:color w:val="auto"/>
          <w:kern w:val="0"/>
          <w:sz w:val="24"/>
          <w:szCs w:val="24"/>
          <w:highlight w:val="none"/>
          <w:lang w:val="en-US" w:eastAsia="zh-CN"/>
        </w:rPr>
        <w:t>等机构检定/校准，抽查8台测量设备检定/校准证书，溯源满足要求。祥见《测量设备溯源检查表》</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default" w:ascii="宋体" w:hAnsi="宋体" w:eastAsia="宋体" w:cs="宋体"/>
          <w:bCs/>
          <w:color w:val="auto"/>
          <w:kern w:val="0"/>
          <w:sz w:val="24"/>
          <w:szCs w:val="24"/>
          <w:highlight w:val="yellow"/>
          <w:lang w:val="en-US" w:eastAsia="zh-CN"/>
        </w:rPr>
      </w:pPr>
      <w:r>
        <w:rPr>
          <w:rFonts w:hint="eastAsia" w:ascii="宋体" w:hAnsi="宋体" w:eastAsia="宋体" w:cs="宋体"/>
          <w:bCs/>
          <w:color w:val="auto"/>
          <w:kern w:val="0"/>
          <w:sz w:val="24"/>
          <w:szCs w:val="24"/>
          <w:highlight w:val="none"/>
          <w:lang w:val="en-US" w:eastAsia="zh-CN"/>
        </w:rPr>
        <w:t>4.能源管理情况：</w:t>
      </w:r>
      <w:r>
        <w:rPr>
          <w:rFonts w:hint="eastAsia" w:ascii="宋体" w:hAnsi="宋体" w:cs="宋体"/>
          <w:color w:val="000000"/>
          <w:sz w:val="24"/>
          <w:szCs w:val="24"/>
        </w:rPr>
        <w:t>企业能源主要消耗品种为电能</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水、蒸汽</w:t>
      </w:r>
      <w:r>
        <w:rPr>
          <w:rFonts w:hint="eastAsia" w:ascii="宋体" w:hAnsi="宋体" w:cs="宋体"/>
          <w:color w:val="000000"/>
          <w:sz w:val="24"/>
          <w:szCs w:val="24"/>
        </w:rPr>
        <w:t>，2021年1月至10月累计消耗电量</w:t>
      </w:r>
      <w:r>
        <w:rPr>
          <w:rFonts w:hint="eastAsia" w:ascii="宋体" w:hAnsi="宋体" w:cs="宋体"/>
          <w:color w:val="000000"/>
          <w:sz w:val="24"/>
          <w:szCs w:val="24"/>
          <w:lang w:val="en-US" w:eastAsia="zh-CN"/>
        </w:rPr>
        <w:t>10087033</w:t>
      </w:r>
      <w:r>
        <w:rPr>
          <w:rFonts w:hint="eastAsia" w:ascii="宋体" w:hAnsi="宋体" w:cs="宋体"/>
          <w:color w:val="000000"/>
          <w:sz w:val="24"/>
          <w:szCs w:val="24"/>
        </w:rPr>
        <w:t>kWh，</w:t>
      </w:r>
      <w:r>
        <w:rPr>
          <w:rFonts w:hint="eastAsia" w:ascii="宋体" w:hAnsi="宋体" w:cs="宋体"/>
          <w:color w:val="000000"/>
          <w:sz w:val="24"/>
          <w:szCs w:val="24"/>
          <w:lang w:val="en-US" w:eastAsia="zh-CN"/>
        </w:rPr>
        <w:t>水36993t，蒸汽32030吨，</w:t>
      </w:r>
      <w:r>
        <w:rPr>
          <w:rFonts w:hint="eastAsia" w:ascii="宋体" w:hAnsi="宋体" w:cs="宋体"/>
          <w:color w:val="000000"/>
          <w:sz w:val="24"/>
          <w:szCs w:val="24"/>
        </w:rPr>
        <w:t>折合标准煤</w:t>
      </w:r>
      <w:r>
        <w:rPr>
          <w:rFonts w:hint="eastAsia" w:ascii="宋体" w:hAnsi="宋体" w:cs="宋体"/>
          <w:color w:val="000000"/>
          <w:sz w:val="24"/>
          <w:szCs w:val="24"/>
          <w:lang w:val="en-US" w:eastAsia="zh-CN"/>
        </w:rPr>
        <w:t xml:space="preserve">5361.9 </w:t>
      </w:r>
      <w:r>
        <w:rPr>
          <w:rFonts w:hint="eastAsia" w:ascii="宋体" w:hAnsi="宋体" w:cs="宋体"/>
          <w:color w:val="000000"/>
          <w:sz w:val="24"/>
          <w:szCs w:val="24"/>
        </w:rPr>
        <w:t>tce，不是重点耗能企业。</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highlight w:val="none"/>
        </w:rPr>
        <w:t>5.对认证审核时提出的的不符合项的纠正措施情况：</w:t>
      </w:r>
      <w:r>
        <w:rPr>
          <w:rFonts w:hint="eastAsia" w:ascii="宋体" w:hAnsi="宋体" w:eastAsia="宋体" w:cs="宋体"/>
          <w:bCs/>
          <w:color w:val="auto"/>
          <w:kern w:val="0"/>
          <w:sz w:val="24"/>
          <w:szCs w:val="24"/>
        </w:rPr>
        <w:t> </w:t>
      </w:r>
      <w:bookmarkStart w:id="11" w:name="_GoBack"/>
      <w:bookmarkEnd w:id="11"/>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监督审核未发现</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公司制定了5项质量目标，质量目标有具体考核，指标可测量，质量目标分解到各部门。经统计2021年1月至9月份质量目标全部完成。企业测量体系进一步满足顾客、质量、服务等方面的要求，符合GB/T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企业营业执照没有变更，企业组织机构没有变更。</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26</w:t>
      </w:r>
      <w:r>
        <w:rPr>
          <w:rFonts w:hint="eastAsia" w:cs="宋体" w:asciiTheme="minorEastAsia" w:hAnsiTheme="minorEastAsia"/>
          <w:bCs/>
          <w:color w:val="auto"/>
          <w:kern w:val="0"/>
          <w:sz w:val="24"/>
          <w:szCs w:val="24"/>
        </w:rPr>
        <w:t>日，对</w:t>
      </w:r>
      <w:r>
        <w:rPr>
          <w:rFonts w:hint="eastAsia" w:cs="宋体" w:asciiTheme="minorEastAsia" w:hAnsiTheme="minorEastAsia"/>
          <w:bCs/>
          <w:color w:val="auto"/>
          <w:kern w:val="0"/>
          <w:sz w:val="24"/>
          <w:szCs w:val="24"/>
          <w:lang w:eastAsia="zh-CN"/>
        </w:rPr>
        <w:t>苏州海宏水泥制品有限公司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苏州海宏水泥制品有限公司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0000FF"/>
          <w:kern w:val="0"/>
          <w:sz w:val="24"/>
          <w:szCs w:val="24"/>
        </w:rPr>
      </w:pPr>
      <w:r>
        <w:rPr>
          <w:rFonts w:hint="eastAsia"/>
          <w:color w:val="0000FF"/>
          <w:sz w:val="24"/>
          <w:szCs w:val="24"/>
        </w:rPr>
        <w:drawing>
          <wp:anchor distT="0" distB="0" distL="114300" distR="114300" simplePos="0" relativeHeight="251674624"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2021.11.26</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94080" behindDoc="0" locked="0" layoutInCell="1" allowOverlap="1">
            <wp:simplePos x="0" y="0"/>
            <wp:positionH relativeFrom="column">
              <wp:posOffset>1430655</wp:posOffset>
            </wp:positionH>
            <wp:positionV relativeFrom="paragraph">
              <wp:posOffset>260350</wp:posOffset>
            </wp:positionV>
            <wp:extent cx="633095" cy="291465"/>
            <wp:effectExtent l="0" t="0" r="5080" b="3810"/>
            <wp:wrapNone/>
            <wp:docPr id="1" name="图片 1" descr="2fe0e1633fe16412e9f7e0ab26dc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e0e1633fe16412e9f7e0ab26dc397"/>
                    <pic:cNvPicPr>
                      <a:picLocks noChangeAspect="1"/>
                    </pic:cNvPicPr>
                  </pic:nvPicPr>
                  <pic:blipFill>
                    <a:blip r:embed="rId7"/>
                    <a:stretch>
                      <a:fillRect/>
                    </a:stretch>
                  </pic:blipFill>
                  <pic:spPr>
                    <a:xfrm>
                      <a:off x="0" y="0"/>
                      <a:ext cx="633095" cy="29146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2021.11.26</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F029E9"/>
    <w:rsid w:val="2CAA5675"/>
    <w:rsid w:val="3A214ADE"/>
    <w:rsid w:val="43095FF9"/>
    <w:rsid w:val="45056665"/>
    <w:rsid w:val="50712341"/>
    <w:rsid w:val="5CB72A8B"/>
    <w:rsid w:val="60E64C4E"/>
    <w:rsid w:val="64D43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2021-11-26T05:51:35Z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