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通鼎互联信息股份有限公司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0101-2017-2021</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0101-2017-2021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通鼎互联信息股份有限公司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肖仁贵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ISC-2017-0183</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2022-12-10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r>
              <w:rPr>
                <w:rFonts w:cs="宋体" w:asciiTheme="minorEastAsia" w:hAnsiTheme="minorEastAsia"/>
                <w:kern w:val="0"/>
                <w:szCs w:val="21"/>
              </w:rPr>
              <w:t>四</w:t>
            </w:r>
            <w:bookmarkEnd w:id="7"/>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2021年11月24日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2021-M1MMS-2227641</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袁菊</w:t>
            </w:r>
            <w:r>
              <w:rPr>
                <w:rFonts w:hint="eastAsia" w:ascii="宋体" w:hAnsi="宋体"/>
                <w:szCs w:val="21"/>
                <w:lang w:eastAsia="zh-CN"/>
              </w:rPr>
              <w:t>，</w:t>
            </w:r>
            <w:r>
              <w:rPr>
                <w:rFonts w:ascii="宋体" w:hAnsi="宋体"/>
                <w:color w:val="000000"/>
                <w:szCs w:val="21"/>
                <w:shd w:val="clear" w:color="auto" w:fill="auto"/>
              </w:rPr>
              <w:t>2021-M1MMS-2274447</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ISC[S]0258</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default" w:ascii="宋体" w:hAnsi="宋体" w:cs="宋体"/>
                <w:color w:val="FF0000"/>
                <w:kern w:val="0"/>
                <w:szCs w:val="21"/>
                <w:highlight w:val="none"/>
                <w:lang w:val="en-US" w:eastAsia="zh-CN"/>
              </w:rPr>
            </w:pPr>
            <w:r>
              <w:rPr>
                <w:rFonts w:hint="eastAsia" w:ascii="宋体" w:hAnsi="宋体"/>
                <w:color w:val="auto"/>
                <w:szCs w:val="21"/>
                <w:highlight w:val="none"/>
                <w:lang w:val="en-US" w:eastAsia="zh-CN"/>
              </w:rPr>
              <w:t>管理层/</w:t>
            </w:r>
            <w:r>
              <w:rPr>
                <w:rFonts w:hint="eastAsia" w:ascii="宋体" w:hAnsi="宋体"/>
                <w:color w:val="auto"/>
                <w:szCs w:val="21"/>
                <w:highlight w:val="none"/>
              </w:rPr>
              <w:t>管理者代表</w:t>
            </w:r>
            <w:r>
              <w:rPr>
                <w:rFonts w:hint="eastAsia" w:ascii="宋体" w:hAnsi="宋体"/>
                <w:color w:val="auto"/>
                <w:szCs w:val="21"/>
                <w:highlight w:val="none"/>
                <w:lang w:eastAsia="zh-CN"/>
              </w:rPr>
              <w:t>、技术质量</w:t>
            </w:r>
            <w:r>
              <w:rPr>
                <w:rFonts w:hint="eastAsia" w:ascii="宋体" w:hAnsi="宋体"/>
                <w:color w:val="auto"/>
                <w:szCs w:val="21"/>
                <w:highlight w:val="none"/>
                <w:lang w:val="en-US" w:eastAsia="zh-CN"/>
              </w:rPr>
              <w:t>部</w:t>
            </w:r>
            <w:r>
              <w:rPr>
                <w:rFonts w:hint="eastAsia" w:ascii="宋体" w:hAnsi="宋体" w:cs="宋体"/>
                <w:kern w:val="0"/>
                <w:szCs w:val="21"/>
                <w:highlight w:val="none"/>
                <w:lang w:val="en-US" w:eastAsia="zh-CN"/>
              </w:rPr>
              <w:t>、</w:t>
            </w:r>
            <w:r>
              <w:rPr>
                <w:rFonts w:hint="eastAsia" w:ascii="宋体" w:hAnsi="宋体" w:cs="宋体"/>
                <w:color w:val="auto"/>
                <w:kern w:val="0"/>
                <w:szCs w:val="21"/>
                <w:highlight w:val="none"/>
                <w:lang w:val="en-US" w:eastAsia="zh-CN"/>
              </w:rPr>
              <w:t>市场经营部、采购部</w:t>
            </w:r>
            <w:r>
              <w:rPr>
                <w:rFonts w:hint="eastAsia" w:ascii="宋体" w:hAnsi="宋体"/>
                <w:color w:val="auto"/>
                <w:szCs w:val="21"/>
                <w:highlight w:val="none"/>
                <w:lang w:val="en-US" w:eastAsia="zh-CN"/>
              </w:rPr>
              <w:t>光纤事业部、特种电缆事业部</w:t>
            </w:r>
            <w:r>
              <w:rPr>
                <w:rFonts w:hint="eastAsia" w:ascii="宋体" w:hAnsi="宋体" w:cs="宋体"/>
                <w:color w:val="auto"/>
                <w:kern w:val="0"/>
                <w:szCs w:val="21"/>
                <w:highlight w:val="none"/>
                <w:lang w:val="en-US" w:eastAsia="zh-CN"/>
              </w:rPr>
              <w:t>、</w:t>
            </w:r>
          </w:p>
          <w:p>
            <w:pPr>
              <w:jc w:val="both"/>
              <w:rPr>
                <w:rFonts w:hint="default" w:ascii="宋体" w:hAnsi="宋体" w:eastAsia="宋体" w:cs="宋体"/>
                <w:kern w:val="0"/>
                <w:szCs w:val="21"/>
                <w:highlight w:val="none"/>
                <w:lang w:val="en-US" w:eastAsia="zh-CN"/>
              </w:rPr>
            </w:pPr>
            <w:r>
              <w:rPr>
                <w:rFonts w:hint="eastAsia" w:ascii="宋体" w:hAnsi="宋体" w:cs="宋体"/>
                <w:kern w:val="0"/>
                <w:szCs w:val="21"/>
                <w:lang w:eastAsia="zh-CN"/>
              </w:rPr>
              <w:t>设备管理部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1.一年内违反法律法规或重大事故的情况：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 xml:space="preserve">1.1 </w:t>
      </w:r>
      <w:r>
        <w:rPr>
          <w:rFonts w:hint="eastAsia" w:asciiTheme="majorEastAsia" w:hAnsiTheme="majorEastAsia" w:eastAsiaTheme="majorEastAsia" w:cstheme="majorEastAsia"/>
          <w:bCs/>
          <w:color w:val="auto"/>
          <w:kern w:val="0"/>
          <w:sz w:val="24"/>
          <w:szCs w:val="24"/>
          <w:highlight w:val="none"/>
        </w:rPr>
        <w:t>公司测量管理体系</w:t>
      </w:r>
      <w:r>
        <w:rPr>
          <w:rFonts w:hint="eastAsia" w:asciiTheme="majorEastAsia" w:hAnsiTheme="majorEastAsia" w:eastAsiaTheme="majorEastAsia" w:cstheme="majorEastAsia"/>
          <w:bCs/>
          <w:color w:val="auto"/>
          <w:kern w:val="0"/>
          <w:sz w:val="24"/>
          <w:szCs w:val="24"/>
          <w:highlight w:val="none"/>
          <w:lang w:val="en-US" w:eastAsia="zh-CN"/>
        </w:rPr>
        <w:t>通过</w:t>
      </w:r>
      <w:r>
        <w:rPr>
          <w:rFonts w:hint="eastAsia" w:asciiTheme="majorEastAsia" w:hAnsiTheme="majorEastAsia" w:eastAsiaTheme="majorEastAsia" w:cstheme="majorEastAsia"/>
          <w:bCs/>
          <w:color w:val="auto"/>
          <w:kern w:val="0"/>
          <w:sz w:val="24"/>
          <w:szCs w:val="24"/>
          <w:highlight w:val="none"/>
        </w:rPr>
        <w:t>认证后，</w:t>
      </w:r>
      <w:r>
        <w:rPr>
          <w:rFonts w:hint="eastAsia" w:ascii="宋体" w:hAnsi="宋体" w:eastAsia="宋体" w:cs="宋体"/>
          <w:bCs/>
          <w:color w:val="auto"/>
          <w:kern w:val="0"/>
          <w:sz w:val="24"/>
          <w:szCs w:val="24"/>
          <w:highlight w:val="none"/>
          <w:lang w:val="en-US" w:eastAsia="zh-CN"/>
        </w:rPr>
        <w:t>一年来企业</w:t>
      </w:r>
      <w:r>
        <w:rPr>
          <w:rFonts w:hint="eastAsia" w:ascii="宋体" w:hAnsi="宋体" w:eastAsia="宋体" w:cs="宋体"/>
          <w:bCs/>
          <w:color w:val="auto"/>
          <w:kern w:val="0"/>
          <w:sz w:val="24"/>
          <w:szCs w:val="24"/>
          <w:highlight w:val="none"/>
        </w:rPr>
        <w:t>重点</w:t>
      </w:r>
      <w:r>
        <w:rPr>
          <w:rFonts w:hint="eastAsia" w:ascii="宋体" w:hAnsi="宋体" w:eastAsia="宋体" w:cs="宋体"/>
          <w:bCs/>
          <w:color w:val="auto"/>
          <w:kern w:val="0"/>
          <w:sz w:val="24"/>
          <w:szCs w:val="24"/>
          <w:highlight w:val="none"/>
          <w:lang w:val="en-US" w:eastAsia="zh-CN"/>
        </w:rPr>
        <w:t>关注</w:t>
      </w:r>
      <w:r>
        <w:rPr>
          <w:rFonts w:hint="eastAsia" w:ascii="宋体" w:hAnsi="宋体" w:eastAsia="宋体" w:cs="宋体"/>
          <w:bCs/>
          <w:color w:val="auto"/>
          <w:kern w:val="0"/>
          <w:sz w:val="24"/>
          <w:szCs w:val="24"/>
          <w:highlight w:val="none"/>
        </w:rPr>
        <w:t>原材料检验、产品出厂检验等测量过程及测量设备量值溯源。</w:t>
      </w:r>
      <w:r>
        <w:rPr>
          <w:rFonts w:hint="eastAsia" w:ascii="宋体" w:hAnsi="宋体" w:eastAsia="宋体" w:cs="宋体"/>
          <w:bCs/>
          <w:color w:val="auto"/>
          <w:kern w:val="0"/>
          <w:sz w:val="24"/>
          <w:szCs w:val="24"/>
          <w:highlight w:val="none"/>
          <w:lang w:val="en-US" w:eastAsia="zh-CN"/>
        </w:rPr>
        <w:t>企业</w:t>
      </w:r>
      <w:r>
        <w:rPr>
          <w:rFonts w:hint="eastAsia" w:ascii="宋体" w:hAnsi="宋体" w:eastAsia="宋体" w:cs="宋体"/>
          <w:bCs/>
          <w:color w:val="auto"/>
          <w:kern w:val="0"/>
          <w:sz w:val="24"/>
          <w:szCs w:val="24"/>
          <w:highlight w:val="none"/>
        </w:rPr>
        <w:t>测量设备</w:t>
      </w:r>
      <w:r>
        <w:rPr>
          <w:rFonts w:hint="eastAsia" w:ascii="宋体" w:hAnsi="宋体" w:eastAsia="宋体" w:cs="宋体"/>
          <w:bCs/>
          <w:color w:val="auto"/>
          <w:kern w:val="0"/>
          <w:sz w:val="24"/>
          <w:szCs w:val="24"/>
          <w:highlight w:val="none"/>
          <w:lang w:val="en-US" w:eastAsia="zh-CN"/>
        </w:rPr>
        <w:t>按照检定/校准计划</w:t>
      </w:r>
      <w:r>
        <w:rPr>
          <w:rFonts w:hint="eastAsia" w:ascii="宋体" w:hAnsi="宋体" w:eastAsia="宋体" w:cs="宋体"/>
          <w:bCs/>
          <w:color w:val="auto"/>
          <w:kern w:val="0"/>
          <w:sz w:val="24"/>
          <w:szCs w:val="24"/>
          <w:highlight w:val="none"/>
        </w:rPr>
        <w:t>送到有资质的检定/校准机构检定/校准。</w:t>
      </w:r>
      <w:r>
        <w:rPr>
          <w:rFonts w:hint="eastAsia" w:ascii="宋体" w:hAnsi="宋体" w:eastAsia="宋体" w:cs="宋体"/>
          <w:bCs/>
          <w:color w:val="auto"/>
          <w:kern w:val="0"/>
          <w:sz w:val="24"/>
          <w:szCs w:val="24"/>
          <w:highlight w:val="none"/>
          <w:lang w:val="en-US" w:eastAsia="zh-CN"/>
        </w:rPr>
        <w:t>对校准后的测量设备进行验证。对关键测量过程进行</w:t>
      </w:r>
      <w:r>
        <w:rPr>
          <w:rFonts w:hint="eastAsia" w:ascii="宋体" w:hAnsi="宋体" w:eastAsia="宋体" w:cs="宋体"/>
          <w:bCs/>
          <w:color w:val="auto"/>
          <w:kern w:val="0"/>
          <w:sz w:val="24"/>
          <w:szCs w:val="24"/>
          <w:highlight w:val="none"/>
        </w:rPr>
        <w:t>不确定度评定、有效性确认</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对关键测量过程应用统计技术按照规定的监视周期进行</w:t>
      </w:r>
      <w:r>
        <w:rPr>
          <w:rFonts w:hint="eastAsia" w:ascii="宋体" w:hAnsi="宋体" w:eastAsia="宋体" w:cs="宋体"/>
          <w:bCs/>
          <w:color w:val="auto"/>
          <w:kern w:val="0"/>
          <w:sz w:val="24"/>
          <w:szCs w:val="24"/>
          <w:highlight w:val="none"/>
        </w:rPr>
        <w:t>监视与统计</w:t>
      </w:r>
      <w:r>
        <w:rPr>
          <w:rFonts w:hint="eastAsia" w:ascii="宋体" w:hAnsi="宋体" w:eastAsia="宋体" w:cs="宋体"/>
          <w:bCs/>
          <w:color w:val="auto"/>
          <w:kern w:val="0"/>
          <w:sz w:val="24"/>
          <w:szCs w:val="24"/>
          <w:highlight w:val="none"/>
          <w:lang w:eastAsia="zh-CN"/>
        </w:rPr>
        <w:t>。</w:t>
      </w:r>
    </w:p>
    <w:p>
      <w:pPr>
        <w:spacing w:line="360" w:lineRule="auto"/>
        <w:rPr>
          <w:rFonts w:hint="default" w:asciiTheme="majorEastAsia" w:hAnsiTheme="majorEastAsia" w:eastAsiaTheme="majorEastAsia" w:cstheme="majorEastAsia"/>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公司领导层重视</w:t>
      </w:r>
      <w:r>
        <w:rPr>
          <w:rFonts w:hint="eastAsia" w:asciiTheme="majorEastAsia" w:hAnsiTheme="majorEastAsia" w:eastAsiaTheme="majorEastAsia" w:cstheme="majorEastAsia"/>
          <w:bCs/>
          <w:color w:val="auto"/>
          <w:kern w:val="0"/>
          <w:sz w:val="24"/>
          <w:szCs w:val="24"/>
          <w:highlight w:val="none"/>
        </w:rPr>
        <w:t>测量管理体系各项工作，配备完善了相关资源和设备</w:t>
      </w:r>
      <w:r>
        <w:rPr>
          <w:rFonts w:hint="eastAsia" w:asciiTheme="majorEastAsia" w:hAnsiTheme="majorEastAsia" w:eastAsiaTheme="majorEastAsia" w:cstheme="majorEastAsia"/>
          <w:bCs/>
          <w:color w:val="auto"/>
          <w:kern w:val="0"/>
          <w:sz w:val="24"/>
          <w:szCs w:val="24"/>
          <w:highlight w:val="none"/>
          <w:lang w:val="en-US" w:eastAsia="zh-CN"/>
        </w:rPr>
        <w:t>。企业根据测量体系质量方针，</w:t>
      </w:r>
      <w:r>
        <w:rPr>
          <w:rFonts w:hint="eastAsia" w:asciiTheme="majorEastAsia" w:hAnsiTheme="majorEastAsia" w:eastAsiaTheme="majorEastAsia" w:cstheme="majorEastAsia"/>
          <w:bCs/>
          <w:color w:val="auto"/>
          <w:kern w:val="0"/>
          <w:sz w:val="24"/>
          <w:szCs w:val="24"/>
          <w:highlight w:val="none"/>
        </w:rPr>
        <w:t>公司制定了</w:t>
      </w:r>
      <w:r>
        <w:rPr>
          <w:rFonts w:hint="eastAsia" w:asciiTheme="majorEastAsia" w:hAnsiTheme="majorEastAsia" w:eastAsiaTheme="majorEastAsia" w:cstheme="majorEastAsia"/>
          <w:bCs/>
          <w:color w:val="auto"/>
          <w:kern w:val="0"/>
          <w:sz w:val="24"/>
          <w:szCs w:val="24"/>
          <w:highlight w:val="none"/>
          <w:lang w:val="en-US" w:eastAsia="zh-CN"/>
        </w:rPr>
        <w:t>5</w:t>
      </w:r>
      <w:r>
        <w:rPr>
          <w:rFonts w:hint="eastAsia" w:asciiTheme="majorEastAsia" w:hAnsiTheme="majorEastAsia" w:eastAsiaTheme="majorEastAsia" w:cstheme="majorEastAsia"/>
          <w:bCs/>
          <w:color w:val="auto"/>
          <w:kern w:val="0"/>
          <w:sz w:val="24"/>
          <w:szCs w:val="24"/>
          <w:highlight w:val="none"/>
        </w:rPr>
        <w:t>项质量目标，质量目标有具体考核</w:t>
      </w:r>
      <w:r>
        <w:rPr>
          <w:rFonts w:hint="eastAsia" w:asciiTheme="majorEastAsia" w:hAnsiTheme="majorEastAsia" w:eastAsiaTheme="majorEastAsia" w:cstheme="majorEastAsia"/>
          <w:bCs/>
          <w:color w:val="auto"/>
          <w:kern w:val="0"/>
          <w:sz w:val="24"/>
          <w:szCs w:val="24"/>
          <w:highlight w:val="none"/>
          <w:lang w:eastAsia="zh-CN"/>
        </w:rPr>
        <w:t>，</w:t>
      </w:r>
      <w:r>
        <w:rPr>
          <w:rFonts w:hint="eastAsia" w:asciiTheme="majorEastAsia" w:hAnsiTheme="majorEastAsia" w:eastAsiaTheme="majorEastAsia" w:cstheme="majorEastAsia"/>
          <w:bCs/>
          <w:color w:val="auto"/>
          <w:kern w:val="0"/>
          <w:sz w:val="24"/>
          <w:szCs w:val="24"/>
          <w:highlight w:val="none"/>
        </w:rPr>
        <w:t>指标可测量，</w:t>
      </w:r>
      <w:r>
        <w:rPr>
          <w:rFonts w:hint="eastAsia" w:asciiTheme="majorEastAsia" w:hAnsiTheme="majorEastAsia" w:eastAsiaTheme="majorEastAsia" w:cstheme="majorEastAsia"/>
          <w:bCs/>
          <w:color w:val="auto"/>
          <w:kern w:val="0"/>
          <w:sz w:val="24"/>
          <w:szCs w:val="24"/>
          <w:highlight w:val="none"/>
          <w:lang w:val="en-US" w:eastAsia="zh-CN"/>
        </w:rPr>
        <w:t>企业下发了《2021年计量目标分解方案》，质量目标分解到各部门。经统计2021年1月至9月份</w:t>
      </w:r>
      <w:r>
        <w:rPr>
          <w:rFonts w:hint="eastAsia" w:asciiTheme="majorEastAsia" w:hAnsiTheme="majorEastAsia" w:eastAsiaTheme="majorEastAsia" w:cstheme="majorEastAsia"/>
          <w:bCs/>
          <w:color w:val="auto"/>
          <w:kern w:val="0"/>
          <w:sz w:val="24"/>
          <w:szCs w:val="24"/>
          <w:highlight w:val="none"/>
        </w:rPr>
        <w:t>质量目标</w:t>
      </w:r>
      <w:r>
        <w:rPr>
          <w:rFonts w:hint="eastAsia" w:asciiTheme="majorEastAsia" w:hAnsiTheme="majorEastAsia" w:eastAsiaTheme="majorEastAsia" w:cstheme="majorEastAsia"/>
          <w:bCs/>
          <w:color w:val="auto"/>
          <w:kern w:val="0"/>
          <w:sz w:val="24"/>
          <w:szCs w:val="24"/>
          <w:highlight w:val="none"/>
          <w:lang w:val="en-US" w:eastAsia="zh-CN"/>
        </w:rPr>
        <w:t>全部</w:t>
      </w:r>
      <w:r>
        <w:rPr>
          <w:rFonts w:hint="eastAsia" w:asciiTheme="majorEastAsia" w:hAnsiTheme="majorEastAsia" w:eastAsiaTheme="majorEastAsia" w:cstheme="majorEastAsia"/>
          <w:bCs/>
          <w:color w:val="auto"/>
          <w:kern w:val="0"/>
          <w:sz w:val="24"/>
          <w:szCs w:val="24"/>
          <w:highlight w:val="none"/>
        </w:rPr>
        <w:t>完成。</w:t>
      </w:r>
      <w:r>
        <w:rPr>
          <w:rFonts w:hint="eastAsia" w:asciiTheme="majorEastAsia" w:hAnsiTheme="majorEastAsia" w:eastAsiaTheme="majorEastAsia" w:cstheme="majorEastAsia"/>
          <w:bCs/>
          <w:color w:val="auto"/>
          <w:kern w:val="0"/>
          <w:sz w:val="24"/>
          <w:szCs w:val="24"/>
          <w:highlight w:val="none"/>
          <w:lang w:val="en-US" w:eastAsia="zh-CN"/>
        </w:rPr>
        <w:t>测量管理体系的符合性、有效性及持续改进，符合GB/T 19022-2003标准要求，公司测量管理体系正常有序运行，较好地满足了公司可持续发展的需要。企业效益逐年提高。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0000FF"/>
          <w:sz w:val="24"/>
          <w:szCs w:val="24"/>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2.1公司于2021年8月11日至8月13日组织了公司测量管理体系内部审核，内审分3个组，对公司6个部门和6个事业部进行了审核，本次审核未发现不符合项，对审核中发现的3个问题项，及时和责任单位进行了沟通，责任单位进行了分析，及时组织进行了整改。到目前为止问题项已全部完成整改。</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2.2企业于2021年11月1日开展了单体系管理评审，会议由公司总经理冒兵主持，由技术质量部、汇报了测量管理体系运行情况。其他相关职能部门汇报了本部门所做的测量体系相关工作。会议肯定了公司测量管理体系的充分性、有效性和适宜性。形成了管理评审报告。</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eastAsia" w:ascii="宋体" w:hAnsi="宋体" w:eastAsia="宋体" w:cs="宋体"/>
          <w:bCs/>
          <w:color w:val="0000FF"/>
          <w:kern w:val="0"/>
          <w:sz w:val="24"/>
          <w:szCs w:val="24"/>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3.为持续改进而策划的活动的进展，企业对识别的关键测量过程进行了持续的控制，企业单丝直径测量过程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a)计量要求的导出和验证：查：单丝直径测量过程，计量要求导出方法正确，验证满足测量过程要求。祥见附件《计量要求导出及验证记录表》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b)测量不确定评定：查：单丝直径测量过程，测量不确定度评定方法正确。祥见附件《测量不确定度评定》</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c)有效性确认：查：单丝直径测量过程有效性确认，满足要求。祥见附件《测量过程有效性确认》</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d)测量过程的控制：查:单丝直径测量过程，编制了控制规范，对测量人员、测量设备、测量环境进行控制，满足要求。</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e)测量过程的监视：查:单丝直径测量过程</w:t>
      </w:r>
      <w:bookmarkStart w:id="10" w:name="_GoBack"/>
      <w:bookmarkEnd w:id="10"/>
      <w:r>
        <w:rPr>
          <w:rFonts w:hint="eastAsia" w:asciiTheme="majorEastAsia" w:hAnsiTheme="majorEastAsia" w:eastAsiaTheme="majorEastAsia" w:cstheme="majorEastAsia"/>
          <w:bCs/>
          <w:color w:val="auto"/>
          <w:kern w:val="0"/>
          <w:sz w:val="24"/>
          <w:szCs w:val="24"/>
          <w:highlight w:val="none"/>
          <w:lang w:val="en-US" w:eastAsia="zh-CN"/>
        </w:rPr>
        <w:t>，采用统计技术进行控制和监视测量过程。祥见《测量过程监视记录》</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f)测量设备的溯源：公司未建最高计量标准，企业测量设备由技术质量部负责组织委外检定/校准。公司测量设备委托苏州市吴江区检验检测中心、中国电子科技集团第二十三研究所检验中心、苏州赛宝校准技术服务有限公司等机构检定/校准，抽查9台测量设备检定/校准证书，溯源满足要求。祥见《测量设备溯源检查表》</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4.能源管理情况：企业是重点耗能单位，企业消耗能源主要有：水、电 ，</w:t>
      </w:r>
      <w:r>
        <w:rPr>
          <w:rFonts w:hint="eastAsia"/>
          <w:bCs/>
          <w:sz w:val="24"/>
          <w:szCs w:val="24"/>
          <w:highlight w:val="none"/>
        </w:rPr>
        <w:t>2020年耗能为1.03595974万吨标准煤</w:t>
      </w:r>
      <w:r>
        <w:rPr>
          <w:rFonts w:hint="eastAsia" w:ascii="宋体" w:hAnsi="宋体" w:eastAsia="宋体" w:cs="宋体"/>
          <w:bCs/>
          <w:color w:val="auto"/>
          <w:kern w:val="0"/>
          <w:sz w:val="24"/>
          <w:szCs w:val="24"/>
          <w:highlight w:val="none"/>
          <w:lang w:val="en-US" w:eastAsia="zh-CN"/>
        </w:rPr>
        <w:t>，见能源计量审核情况表。</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监督审核未发现</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color w:val="auto"/>
          <w:sz w:val="24"/>
          <w:szCs w:val="24"/>
          <w:lang w:val="en-US" w:eastAsia="zh-CN"/>
        </w:rPr>
      </w:pPr>
      <w:r>
        <w:rPr>
          <w:rFonts w:hint="eastAsia" w:ascii="宋体" w:hAnsi="宋体"/>
          <w:color w:val="auto"/>
          <w:sz w:val="24"/>
          <w:szCs w:val="24"/>
          <w:lang w:val="en-US" w:eastAsia="zh-CN"/>
        </w:rPr>
        <w:t>7.测量管理体系在实现获证客户目标方面的有效性及持续的运作控制情况：</w:t>
      </w:r>
    </w:p>
    <w:p>
      <w:pPr>
        <w:widowControl/>
        <w:spacing w:line="360" w:lineRule="auto"/>
        <w:ind w:firstLine="480" w:firstLineChars="200"/>
        <w:rPr>
          <w:rFonts w:hint="eastAsia" w:ascii="宋体" w:hAnsi="宋体"/>
          <w:color w:val="auto"/>
          <w:sz w:val="24"/>
          <w:szCs w:val="24"/>
          <w:lang w:val="en-US" w:eastAsia="zh-CN"/>
        </w:rPr>
      </w:pPr>
      <w:r>
        <w:rPr>
          <w:rFonts w:hint="eastAsia" w:ascii="宋体" w:hAnsi="宋体" w:eastAsia="宋体" w:cs="宋体"/>
          <w:bCs/>
          <w:color w:val="auto"/>
          <w:kern w:val="0"/>
          <w:sz w:val="24"/>
          <w:szCs w:val="24"/>
          <w:highlight w:val="none"/>
          <w:lang w:val="en-US" w:eastAsia="zh-CN"/>
        </w:rPr>
        <w:t>公司制定了5项质量目标，质量目标有具体考核，指标可测量，企业下发了《2021年计量目标分解方案》，质量目标分解到各部门。经统计2021年1月至9月份质量目标全部完成。企业测量体系进一步满足顾客、质量、服</w:t>
      </w:r>
      <w:r>
        <w:rPr>
          <w:rFonts w:hint="eastAsia" w:ascii="宋体" w:hAnsi="宋体"/>
          <w:color w:val="auto"/>
          <w:sz w:val="24"/>
          <w:szCs w:val="24"/>
          <w:lang w:val="en-US" w:eastAsia="zh-CN"/>
        </w:rPr>
        <w:t>务等方面的要求，符合GB/T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企业营业执照发生变更，注册资本由126155.3144万元人民币，变更为125046.309万元人民币。2021年07月12日重新取得了营业执照。营业期限2001年02月07日至******。。企业组织机构没有变更。</w:t>
      </w:r>
    </w:p>
    <w:p>
      <w:pPr>
        <w:widowControl/>
        <w:spacing w:line="360" w:lineRule="auto"/>
        <w:rPr>
          <w:rFonts w:hint="eastAsia" w:ascii="宋体" w:hAnsi="宋体" w:eastAsia="宋体" w:cs="宋体"/>
          <w:bCs/>
          <w:color w:val="auto"/>
          <w:kern w:val="0"/>
          <w:sz w:val="24"/>
          <w:szCs w:val="24"/>
        </w:rPr>
      </w:pPr>
      <w:r>
        <w:rPr>
          <w:rFonts w:hint="eastAsia" w:cs="宋体" w:asciiTheme="minorEastAsia" w:hAnsiTheme="minorEastAsia"/>
          <w:bCs/>
          <w:color w:val="auto"/>
          <w:kern w:val="0"/>
          <w:sz w:val="24"/>
          <w:szCs w:val="24"/>
          <w:lang w:val="en-US" w:eastAsia="zh-CN"/>
        </w:rPr>
        <w:t>9.</w:t>
      </w: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firstLine="480" w:firstLineChars="200"/>
        <w:rPr>
          <w:rFonts w:hint="eastAsia" w:ascii="宋体" w:hAnsi="宋体"/>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highlight w:val="none"/>
          <w:lang w:val="en-US" w:eastAsia="zh-CN"/>
        </w:rPr>
      </w:pPr>
    </w:p>
    <w:p>
      <w:pPr>
        <w:numPr>
          <w:ilvl w:val="0"/>
          <w:numId w:val="1"/>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本次审核</w:t>
      </w:r>
      <w:r>
        <w:rPr>
          <w:rFonts w:hint="eastAsia" w:cs="宋体" w:asciiTheme="minorEastAsia" w:hAnsiTheme="minorEastAsia"/>
          <w:bCs/>
          <w:color w:val="auto"/>
          <w:kern w:val="0"/>
          <w:sz w:val="24"/>
          <w:szCs w:val="24"/>
          <w:lang w:val="en-US" w:eastAsia="zh-CN"/>
        </w:rPr>
        <w:t>未</w:t>
      </w:r>
      <w:r>
        <w:rPr>
          <w:rFonts w:hint="eastAsia" w:cs="宋体" w:asciiTheme="minorEastAsia" w:hAnsiTheme="minorEastAsia"/>
          <w:bCs/>
          <w:color w:val="auto"/>
          <w:kern w:val="0"/>
          <w:sz w:val="24"/>
          <w:szCs w:val="24"/>
        </w:rPr>
        <w:t>发现一般不符合项 ，未发现严重或系统性的不符合情况。</w:t>
      </w:r>
    </w:p>
    <w:p>
      <w:pPr>
        <w:numPr>
          <w:ilvl w:val="0"/>
          <w:numId w:val="0"/>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24</w:t>
      </w:r>
      <w:r>
        <w:rPr>
          <w:rFonts w:hint="eastAsia" w:cs="宋体" w:asciiTheme="minorEastAsia" w:hAnsiTheme="minorEastAsia"/>
          <w:bCs/>
          <w:color w:val="auto"/>
          <w:kern w:val="0"/>
          <w:sz w:val="24"/>
          <w:szCs w:val="24"/>
        </w:rPr>
        <w:t>日，对</w:t>
      </w:r>
      <w:r>
        <w:rPr>
          <w:rFonts w:hint="eastAsia" w:cs="宋体" w:asciiTheme="minorEastAsia" w:hAnsiTheme="minorEastAsia"/>
          <w:bCs/>
          <w:color w:val="auto"/>
          <w:kern w:val="0"/>
          <w:sz w:val="24"/>
          <w:szCs w:val="24"/>
          <w:lang w:eastAsia="zh-CN"/>
        </w:rPr>
        <w:t>通鼎互联信息股份有限公司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通鼎互联信息股份有限公司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71552"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2021.11.24</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91008" behindDoc="0" locked="0" layoutInCell="1" allowOverlap="1">
            <wp:simplePos x="0" y="0"/>
            <wp:positionH relativeFrom="column">
              <wp:posOffset>1430655</wp:posOffset>
            </wp:positionH>
            <wp:positionV relativeFrom="paragraph">
              <wp:posOffset>260350</wp:posOffset>
            </wp:positionV>
            <wp:extent cx="633095" cy="291465"/>
            <wp:effectExtent l="0" t="0" r="5080" b="3810"/>
            <wp:wrapNone/>
            <wp:docPr id="1" name="图片 2" descr="2fe0e1633fe16412e9f7e0ab26dc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fe0e1633fe16412e9f7e0ab26dc397"/>
                    <pic:cNvPicPr>
                      <a:picLocks noChangeAspect="1"/>
                    </pic:cNvPicPr>
                  </pic:nvPicPr>
                  <pic:blipFill>
                    <a:blip r:embed="rId7"/>
                    <a:stretch>
                      <a:fillRect/>
                    </a:stretch>
                  </pic:blipFill>
                  <pic:spPr>
                    <a:xfrm>
                      <a:off x="0" y="0"/>
                      <a:ext cx="633095" cy="29146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2021.11.24</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F9614"/>
    <w:multiLevelType w:val="singleLevel"/>
    <w:tmpl w:val="4D9F9614"/>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DC3673"/>
    <w:rsid w:val="1DBB79E0"/>
    <w:rsid w:val="24C56A4C"/>
    <w:rsid w:val="25FA6425"/>
    <w:rsid w:val="2D6B0585"/>
    <w:rsid w:val="2FD06CE0"/>
    <w:rsid w:val="5CEC7649"/>
    <w:rsid w:val="695B6136"/>
    <w:rsid w:val="796337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2021-11-25T03:04:17Z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