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6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5629"/>
        <w:gridCol w:w="24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定兴县永巨水泥制品有限公司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b/>
                <w:szCs w:val="21"/>
                <w:highlight w:val="none"/>
              </w:rPr>
              <w:t xml:space="preserve">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2"/>
                <w:highlight w:val="none"/>
                <w:lang w:val="en-US" w:eastAsia="zh-CN"/>
              </w:rPr>
              <w:t>根据取水许可证要求，公司年取水量不超过1860吨，但企业提供的新鲜水数据3-10月份用水量为17144吨，超过取水要求，企业应制定切实可行的措施降低取水量。以满足政府要求。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下册审核时重点关注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hAnsi="Times New Roman" w:eastAsia="方正仿宋简体" w:cs="Times New Roman"/>
                <w:b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建议增加生产过程的电量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计量表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。</w:t>
            </w:r>
            <w:r>
              <w:rPr>
                <w:rFonts w:hint="eastAsia"/>
                <w:lang w:val="en-US" w:eastAsia="zh-CN"/>
              </w:rPr>
              <w:t>根据GB36888-2018标准要求，二级（进出主要次级用能单位）的电表和水表应配备，配备要求满足GB17167的标准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下册审核时重点关注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3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240" w:lineRule="auto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建议企业对功率较大的设备如双卧轴搅拌机、三相异步电动机的运行效率实施关注，确保设备高效运行。</w:t>
            </w:r>
          </w:p>
          <w:p>
            <w:pPr>
              <w:jc w:val="both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下册审核时重点关注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4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企业在未来制定能源绩效参数和能源目标时应考虑生产综合能耗。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下册审核时重点关注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查阅财务部能源目标指标，建议将ES目标指标修改为“确保能源、环境和职业健康安全管理资金100%及时、足额到位”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已整改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bookmarkStart w:id="12" w:name="_GoBack"/>
            <w:bookmarkEnd w:id="12"/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A77555"/>
    <w:rsid w:val="45285089"/>
    <w:rsid w:val="61007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11</TotalTime>
  <ScaleCrop>false</ScaleCrop>
  <LinksUpToDate>false</LinksUpToDate>
  <CharactersWithSpaces>187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2021-11-20T07:55:06Z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