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694"/>
        <w:gridCol w:w="168"/>
        <w:gridCol w:w="136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8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重庆佳坤土地规划有限公司</w:t>
            </w:r>
            <w:bookmarkEnd w:id="7"/>
          </w:p>
        </w:tc>
        <w:tc>
          <w:tcPr>
            <w:tcW w:w="13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Q：34.01.01;34.01.02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Q：34.01.01;34.01.02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规划设计流程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签订合同→下派任务书→下派计划书→收集项目资料→现场外业调查→土地规划设计→现场复勘→专家评审→设计修改、上报→技术服务→客户验收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需确认工序：土地规划设计过程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地形测量服务过程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default"/>
                <w:b w:val="0"/>
                <w:bCs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地形测量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流程：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签订合同→下派任务书→下派计划书→收集项目资料→现场勘测→内业处理→现场复勘→内审→专家评审→修改、上报→勘测报告→客户验收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需确认工序：地形测量服务过程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需确认工序：土地规划设计过程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地形测量服务过程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控制措施：作业指导书、培训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 w:val="0"/>
                <w:bCs/>
                <w:sz w:val="20"/>
              </w:rPr>
              <w:t>噪声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废弃物的排放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潜在火灾的发生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资源消耗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1、环境目标管理方案；2、运行控制；3、环境目标管理方案、运行控制及应急预案。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不可接受风险源：</w:t>
            </w:r>
            <w:r>
              <w:rPr>
                <w:rFonts w:hint="eastAsia"/>
                <w:b w:val="0"/>
                <w:bCs/>
                <w:sz w:val="20"/>
              </w:rPr>
              <w:t>火灾伤害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摔伤、碰伤等意外伤害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用电、交通重大伤亡事故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)制定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目标b)制定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管理方案c)制定和执行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运行程序或作业文件d) 定期/不定期进行安全检查e) 制定应急预案，配备应急设施；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1、《中华人民共和国土地管理法》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2、《土地利用总体规划管理办法》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3、《乡镇土地利用总体规划（2006-2020年）》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4、GB/T 14912-2005《1：500 1：1000 1：2000外业数字测图技术规程》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5、GB/12898-91《国家三、四等水准测量规范》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6、TD/T 1014—2007《第二次全国土地调查技术规程》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7、GB/T 7930-2008《1:500、1:1000、1:2000地形图航空摄影测量内业规范》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；8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、GB/T 7931-2008《1:500、1:1000、1:2000地形图航空摄影测量外业规范》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等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检测项目按规程执行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59055</wp:posOffset>
                  </wp:positionV>
                  <wp:extent cx="518160" cy="536575"/>
                  <wp:effectExtent l="0" t="0" r="0" b="1206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3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55245</wp:posOffset>
                  </wp:positionV>
                  <wp:extent cx="591185" cy="447675"/>
                  <wp:effectExtent l="0" t="0" r="3175" b="9525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175260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9" w:name="_GoBack"/>
      <w:bookmarkEnd w:id="9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B658F5"/>
    <w:rsid w:val="3DDD6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2021-11-21T09:13:13Z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