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1192-2021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006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0.018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最大允许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</w:t>
            </w:r>
            <w:r>
              <w:rPr>
                <w:rFonts w:hint="eastAsia"/>
                <w:lang w:val="en-US" w:eastAsia="zh-CN"/>
              </w:rPr>
              <w:t>~25</w:t>
            </w:r>
            <w:r>
              <w:rPr>
                <w:rFonts w:hint="eastAsia"/>
              </w:rPr>
              <w:t>)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i/>
                <w:iCs/>
                <w:color w:val="auto"/>
                <w:highlight w:val="none"/>
                <w:lang w:val="en-US" w:eastAsia="zh-CN"/>
              </w:rPr>
              <w:t>U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=0.0012㎜，</w:t>
            </w:r>
            <w:r>
              <w:rPr>
                <w:rFonts w:hint="eastAsia" w:cs="宋体"/>
                <w:i/>
                <w:iCs/>
                <w:color w:val="auto"/>
                <w:highlight w:val="none"/>
              </w:rPr>
              <w:t>k</w:t>
            </w:r>
            <w:r>
              <w:rPr>
                <w:rFonts w:hint="eastAsia" w:cs="宋体"/>
                <w:color w:val="auto"/>
                <w:highlight w:val="none"/>
              </w:rPr>
              <w:t>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  <w:highlight w:val="none"/>
              </w:rPr>
              <w:t>±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㎜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HY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CYG-01抽油杆保护器旋套轴图纸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杨金琦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positio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positio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positio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positio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过程监视统计质控图》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测量过程控制规范编制满足要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auto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color w:val="auto"/>
              </w:rPr>
              <w:t>(如果有)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/>
          <w:b/>
          <w:bCs/>
          <w:color w:val="000000"/>
          <w:szCs w:val="21"/>
          <w:u w:val="none"/>
          <w:lang w:eastAsia="zh-CN"/>
        </w:rPr>
        <w:drawing>
          <wp:inline distT="0" distB="0" distL="114300" distR="114300">
            <wp:extent cx="448310" cy="224155"/>
            <wp:effectExtent l="0" t="0" r="8890" b="4445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465455" cy="234315"/>
            <wp:effectExtent l="0" t="0" r="6985" b="9525"/>
            <wp:docPr id="25" name="图片 25" descr="C:/Users/A/AppData/Local/Temp/picturecompress_2021112316484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/Users/A/AppData/Local/Temp/picturecompress_20211123164849/output_1.jpgoutput_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44348" t="67255" r="33478" b="24375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99.9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31A47"/>
    <w:rsid w:val="230561F0"/>
    <w:rsid w:val="37EE111F"/>
    <w:rsid w:val="5D79168D"/>
    <w:rsid w:val="72AF7C68"/>
    <w:rsid w:val="774C3B21"/>
    <w:rsid w:val="77FA4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2021-11-24T03:10:28Z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0FB471B574044E3D98BE37FABE4AF90A</vt:lpwstr>
  </property>
</Properties>
</file>