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1080-2021-EO</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广安市中策资源综合利用有限公司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2021年11月21日 下午至2021年11月21日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hAnsi="宋体"/>
                <w:b/>
                <w:color w:val="000000"/>
                <w:szCs w:val="21"/>
                <w:lang w:val="de-DE"/>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b/>
                <w:color w:val="000000"/>
                <w:szCs w:val="21"/>
                <w:lang w:val="de-DE"/>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宋明珠</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2019-N1EMS-1247783</w:t>
            </w:r>
          </w:p>
          <w:p>
            <w:pPr>
              <w:spacing w:line="240" w:lineRule="exact"/>
              <w:jc w:val="center"/>
              <w:rPr>
                <w:b/>
                <w:color w:val="000000"/>
                <w:szCs w:val="21"/>
              </w:rPr>
            </w:pPr>
            <w:r>
              <w:rPr>
                <w:b/>
                <w:color w:val="000000"/>
                <w:szCs w:val="21"/>
              </w:rPr>
              <w:t>2021-N1OHSMS-1247783</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李林</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2019-N1EMS-1242345</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张晶晶</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ISC-JSZJ-408</w:t>
            </w:r>
          </w:p>
          <w:p>
            <w:pPr>
              <w:spacing w:line="240" w:lineRule="exact"/>
              <w:jc w:val="center"/>
              <w:rPr>
                <w:b/>
                <w:color w:val="000000"/>
                <w:szCs w:val="21"/>
              </w:rPr>
            </w:pPr>
            <w:r>
              <w:rPr>
                <w:b/>
                <w:color w:val="000000"/>
                <w:szCs w:val="21"/>
              </w:rPr>
              <w:t>ISC-JSZJ-408</w:t>
            </w:r>
          </w:p>
          <w:p>
            <w:pPr>
              <w:spacing w:line="240" w:lineRule="exact"/>
              <w:jc w:val="center"/>
              <w:rPr>
                <w:b/>
                <w:color w:val="000000"/>
                <w:szCs w:val="21"/>
              </w:rPr>
            </w:pPr>
            <w:r>
              <w:rPr>
                <w:b/>
                <w:color w:val="000000"/>
                <w:szCs w:val="21"/>
              </w:rPr>
              <w:t>重庆驰成金属冶炼有限公司</w:t>
            </w:r>
          </w:p>
        </w:tc>
        <w:tc>
          <w:tcPr>
            <w:tcW w:w="1140" w:type="dxa"/>
            <w:vAlign w:val="center"/>
          </w:tcPr>
          <w:p>
            <w:pPr>
              <w:spacing w:line="240" w:lineRule="exact"/>
              <w:jc w:val="center"/>
              <w:rPr>
                <w:b/>
                <w:color w:val="000000"/>
                <w:szCs w:val="21"/>
              </w:rPr>
            </w:pPr>
            <w:r>
              <w:rPr>
                <w:b/>
                <w:color w:val="000000"/>
                <w:szCs w:val="21"/>
              </w:rPr>
              <w:t>E:17.01.00,24.01.02</w:t>
            </w:r>
          </w:p>
          <w:p>
            <w:pPr>
              <w:spacing w:line="240" w:lineRule="exact"/>
              <w:jc w:val="center"/>
              <w:rPr>
                <w:b/>
                <w:color w:val="000000"/>
                <w:szCs w:val="21"/>
              </w:rPr>
            </w:pPr>
            <w:r>
              <w:rPr>
                <w:b/>
                <w:color w:val="000000"/>
                <w:szCs w:val="21"/>
              </w:rPr>
              <w:t>O:17.01.00,24.01.02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广安市中策资源综合利用有限公司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武胜县中心镇环江村</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638000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四川省广安市武胜县中心镇环江村</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638000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潘海平</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15282652919</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潘海平</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潘海平</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r>
              <w:rPr>
                <w:rFonts w:hint="eastAsia" w:ascii="宋体" w:hAnsi="宋体"/>
                <w:b/>
                <w:color w:val="000000"/>
                <w:szCs w:val="21"/>
              </w:rPr>
              <w:t>产品：</w:t>
            </w:r>
            <w:bookmarkStart w:id="35" w:name="审核范围"/>
            <w:r>
              <w:t>E：特殊钢的生产，再生资源（废金属）回收利用所涉及场所的相关环境管理活动</w:t>
            </w:r>
          </w:p>
          <w:p>
            <w:pPr>
              <w:tabs>
                <w:tab w:val="left" w:pos="360"/>
              </w:tabs>
              <w:ind w:left="420" w:leftChars="200" w:firstLine="268" w:firstLineChars="128"/>
              <w:rPr>
                <w:rFonts w:ascii="宋体" w:hAnsi="宋体"/>
                <w:b/>
                <w:color w:val="000000"/>
                <w:szCs w:val="21"/>
              </w:rPr>
            </w:pPr>
            <w:r>
              <w:t>O：特殊钢的生产，再生资源（废金属）回收利用所涉及场所的相关职业健康安全管理活动</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jc w:val="left"/>
              <w:rPr>
                <w:rFonts w:hint="eastAsia"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原料——炼钢——锻打——检验——入库（特殊钢）</w:t>
            </w:r>
          </w:p>
          <w:p>
            <w:pPr>
              <w:tabs>
                <w:tab w:val="left" w:pos="360"/>
              </w:tabs>
              <w:ind w:left="360" w:hanging="360"/>
              <w:rPr>
                <w:rFonts w:ascii="宋体"/>
                <w:color w:val="000000"/>
                <w:szCs w:val="21"/>
              </w:rPr>
            </w:pPr>
            <w:r>
              <w:rPr>
                <w:rFonts w:hint="eastAsia" w:ascii="Times New Roman" w:hAnsi="Times New Roman" w:eastAsia="宋体" w:cs="Times New Roman"/>
                <w:color w:val="000000"/>
                <w:lang w:val="en-US" w:eastAsia="zh-CN"/>
              </w:rPr>
              <w:t>轧胚——退火——下料——热处理——磨削加工——检验——入库（刀具）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宋体" w:hAnsi="宋体"/>
                <w:b/>
                <w:color w:val="000000"/>
                <w:szCs w:val="21"/>
              </w:rPr>
            </w:pPr>
            <w:r>
              <w:t>E：特殊钢的生产，再生资源（废金属）回收利用所涉及场所的相关环境管理活动</w:t>
            </w:r>
          </w:p>
        </w:tc>
        <w:tc>
          <w:tcPr>
            <w:tcW w:w="2006" w:type="dxa"/>
            <w:gridSpan w:val="3"/>
            <w:vAlign w:val="center"/>
          </w:tcPr>
          <w:p>
            <w:pPr>
              <w:rPr>
                <w:rFonts w:ascii="宋体" w:hAnsi="宋体"/>
                <w:b/>
                <w:color w:val="000000"/>
                <w:szCs w:val="21"/>
              </w:rPr>
            </w:pPr>
            <w:r>
              <w:t>E：17.01.00;24.01.02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O：特殊钢的生产，再生资源（废金属）回收利用所涉及场所的相关职业健康安全管理活动</w:t>
            </w:r>
          </w:p>
        </w:tc>
        <w:tc>
          <w:tcPr>
            <w:tcW w:w="2006" w:type="dxa"/>
            <w:gridSpan w:val="3"/>
            <w:vAlign w:val="center"/>
          </w:tcPr>
          <w:p>
            <w:pPr>
              <w:spacing w:line="400" w:lineRule="exact"/>
              <w:rPr>
                <w:rFonts w:ascii="宋体" w:hAnsi="宋体"/>
                <w:b/>
                <w:color w:val="000000"/>
                <w:szCs w:val="21"/>
              </w:rPr>
            </w:pPr>
            <w:r>
              <w:t>O：17.01.00;24.01.02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sz w:val="21"/>
                <w:szCs w:val="21"/>
              </w:rPr>
              <w:t>武胜县中心镇环江村</w:t>
            </w:r>
          </w:p>
        </w:tc>
        <w:tc>
          <w:tcPr>
            <w:tcW w:w="2267" w:type="dxa"/>
          </w:tcPr>
          <w:p>
            <w:pPr>
              <w:spacing w:before="40" w:after="40"/>
              <w:rPr>
                <w:rFonts w:eastAsia="黑体"/>
                <w:szCs w:val="21"/>
                <w:lang w:val="de-DE" w:eastAsia="ja-JP"/>
              </w:rPr>
            </w:pPr>
            <w:r>
              <w:rPr>
                <w:sz w:val="21"/>
                <w:szCs w:val="21"/>
              </w:rPr>
              <w:t>四川省广安市武胜县中心镇环江村</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20</w:t>
            </w:r>
          </w:p>
        </w:tc>
        <w:tc>
          <w:tcPr>
            <w:tcW w:w="2803" w:type="dxa"/>
            <w:vAlign w:val="center"/>
          </w:tcPr>
          <w:p>
            <w:pPr>
              <w:rPr>
                <w:rFonts w:eastAsia="黑体" w:cs="Arial"/>
                <w:sz w:val="21"/>
                <w:szCs w:val="21"/>
                <w:lang w:val="en-US" w:eastAsia="ja-JP"/>
              </w:rPr>
            </w:pPr>
            <w:r>
              <w:t>E：特殊钢的生产，再生资源（废金属）回收利用所涉及场所的相关环境管理活动</w:t>
            </w:r>
          </w:p>
        </w:tc>
        <w:tc>
          <w:tcPr>
            <w:tcW w:w="669" w:type="dxa"/>
            <w:vAlign w:val="center"/>
          </w:tcPr>
          <w:p>
            <w:pPr>
              <w:spacing w:before="40" w:after="40"/>
              <w:rPr>
                <w:rFonts w:eastAsia="黑体"/>
                <w:szCs w:val="21"/>
                <w:lang w:eastAsia="ja-JP"/>
              </w:rPr>
            </w:pPr>
          </w:p>
        </w:tc>
        <w:tc>
          <w:tcPr>
            <w:tcW w:w="668" w:type="dxa"/>
            <w:shd w:val="clear" w:color="auto" w:fill="FFFFFF"/>
          </w:tcPr>
          <w:p>
            <w:pPr>
              <w:rPr>
                <w:rFonts w:eastAsia="黑体"/>
                <w:szCs w:val="21"/>
              </w:rPr>
            </w:pPr>
            <w:r>
              <w:rPr>
                <w:rFonts w:hint="eastAsia" w:ascii="宋体" w:hAnsi="宋体"/>
                <w:b/>
                <w:color w:val="000000"/>
                <w:szCs w:val="21"/>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r>
              <w:rPr>
                <w:sz w:val="21"/>
                <w:szCs w:val="21"/>
              </w:rPr>
              <w:t>武胜县中心镇环江村</w:t>
            </w:r>
          </w:p>
        </w:tc>
        <w:tc>
          <w:tcPr>
            <w:tcW w:w="2267" w:type="dxa"/>
            <w:vAlign w:val="center"/>
          </w:tcPr>
          <w:p>
            <w:pPr>
              <w:spacing w:before="40" w:after="40"/>
              <w:rPr>
                <w:rFonts w:eastAsia="黑体"/>
                <w:szCs w:val="21"/>
                <w:lang w:eastAsia="ja-JP"/>
              </w:rPr>
            </w:pPr>
            <w:r>
              <w:rPr>
                <w:sz w:val="21"/>
                <w:szCs w:val="21"/>
              </w:rPr>
              <w:t>四川省广安市武胜县中心镇环江村</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20</w:t>
            </w:r>
          </w:p>
        </w:tc>
        <w:tc>
          <w:tcPr>
            <w:tcW w:w="2803" w:type="dxa"/>
            <w:vAlign w:val="center"/>
          </w:tcPr>
          <w:p>
            <w:pPr>
              <w:spacing w:line="400" w:lineRule="exact"/>
              <w:rPr>
                <w:rFonts w:eastAsia="黑体"/>
                <w:szCs w:val="21"/>
                <w:lang w:eastAsia="ja-JP"/>
              </w:rPr>
            </w:pPr>
            <w:r>
              <w:t>O：特殊钢的生产，再生资源（废金属）回收利用所涉及场所的相关职业健康安全管理活动</w:t>
            </w:r>
          </w:p>
        </w:tc>
        <w:tc>
          <w:tcPr>
            <w:tcW w:w="669" w:type="dxa"/>
            <w:vAlign w:val="center"/>
          </w:tcPr>
          <w:p>
            <w:pPr>
              <w:spacing w:before="40" w:after="40"/>
              <w:rPr>
                <w:rFonts w:eastAsia="黑体"/>
                <w:szCs w:val="21"/>
                <w:lang w:eastAsia="ja-JP"/>
              </w:rPr>
            </w:pPr>
          </w:p>
        </w:tc>
        <w:tc>
          <w:tcPr>
            <w:tcW w:w="668" w:type="dxa"/>
            <w:shd w:val="clear" w:color="auto" w:fill="FFFFFF"/>
          </w:tcPr>
          <w:p>
            <w:pPr>
              <w:rPr>
                <w:rFonts w:eastAsia="黑体"/>
                <w:szCs w:val="21"/>
              </w:rPr>
            </w:pPr>
            <w:r>
              <w:rPr>
                <w:rFonts w:hint="eastAsia" w:ascii="宋体" w:hAnsi="宋体"/>
                <w:b/>
                <w:color w:val="000000"/>
                <w:szCs w:val="21"/>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5</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年9月10日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w:t>
            </w:r>
            <w:r>
              <w:rPr>
                <w:rFonts w:hint="eastAsia" w:ascii="宋体"/>
                <w:color w:val="000000"/>
                <w:spacing w:val="-10"/>
                <w:szCs w:val="21"/>
                <w:lang w:eastAsia="zh-CN"/>
              </w:rPr>
              <w:t>☑</w:t>
            </w:r>
            <w:r>
              <w:rPr>
                <w:rFonts w:hint="eastAsia" w:ascii="宋体"/>
                <w:color w:val="000000"/>
                <w:spacing w:val="-10"/>
                <w:szCs w:val="21"/>
              </w:rPr>
              <w:t>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6" w:name="二阶段审核日期"/>
            <w:r>
              <w:rPr>
                <w:rFonts w:hint="eastAsia" w:ascii="宋体"/>
                <w:b/>
                <w:color w:val="000000"/>
                <w:szCs w:val="21"/>
              </w:rPr>
              <w:t>2021-11-2</w:t>
            </w:r>
            <w:bookmarkEnd w:id="36"/>
            <w:r>
              <w:rPr>
                <w:rFonts w:hint="eastAsia" w:ascii="宋体"/>
                <w:b/>
                <w:color w:val="000000"/>
                <w:szCs w:val="21"/>
                <w:lang w:val="en-US" w:eastAsia="zh-CN"/>
              </w:rPr>
              <w:t>2</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bookmarkStart w:id="37" w:name="_GoBack"/>
            <w:bookmarkEnd w:id="37"/>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lang w:eastAsia="zh-CN"/>
        </w:rPr>
        <w:drawing>
          <wp:anchor distT="0" distB="0" distL="114300" distR="114300" simplePos="0" relativeHeight="251663360" behindDoc="0" locked="0" layoutInCell="1" allowOverlap="1">
            <wp:simplePos x="0" y="0"/>
            <wp:positionH relativeFrom="column">
              <wp:posOffset>4072255</wp:posOffset>
            </wp:positionH>
            <wp:positionV relativeFrom="paragraph">
              <wp:posOffset>315595</wp:posOffset>
            </wp:positionV>
            <wp:extent cx="548640" cy="381000"/>
            <wp:effectExtent l="0" t="0" r="10160" b="0"/>
            <wp:wrapNone/>
            <wp:docPr id="15" name="图片 15" descr="9f0a148c841e25e38dc506c6d64a9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9f0a148c841e25e38dc506c6d64a9c4"/>
                    <pic:cNvPicPr>
                      <a:picLocks noChangeAspect="1"/>
                    </pic:cNvPicPr>
                  </pic:nvPicPr>
                  <pic:blipFill>
                    <a:blip r:embed="rId6"/>
                    <a:stretch>
                      <a:fillRect/>
                    </a:stretch>
                  </pic:blipFill>
                  <pic:spPr>
                    <a:xfrm>
                      <a:off x="0" y="0"/>
                      <a:ext cx="548640" cy="38100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1770380</wp:posOffset>
            </wp:positionH>
            <wp:positionV relativeFrom="paragraph">
              <wp:posOffset>320675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7"/>
                    <a:srcRect l="7647" t="9871" r="7157" b="20799"/>
                    <a:stretch>
                      <a:fillRect/>
                    </a:stretch>
                  </pic:blipFill>
                  <pic:spPr>
                    <a:xfrm>
                      <a:off x="0" y="0"/>
                      <a:ext cx="812165" cy="27559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0" w:firstLineChars="400"/>
        <w:rPr>
          <w:rFonts w:ascii="宋体"/>
          <w:b/>
          <w:color w:val="000000"/>
          <w:szCs w:val="21"/>
        </w:rPr>
      </w:pPr>
      <w:r>
        <w:drawing>
          <wp:anchor distT="0" distB="0" distL="114300" distR="114300" simplePos="0" relativeHeight="251664384" behindDoc="0" locked="0" layoutInCell="1" allowOverlap="1">
            <wp:simplePos x="0" y="0"/>
            <wp:positionH relativeFrom="column">
              <wp:posOffset>4773930</wp:posOffset>
            </wp:positionH>
            <wp:positionV relativeFrom="paragraph">
              <wp:posOffset>17145</wp:posOffset>
            </wp:positionV>
            <wp:extent cx="647700" cy="349250"/>
            <wp:effectExtent l="0" t="0" r="0" b="635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stretch>
                      <a:fillRect/>
                    </a:stretch>
                  </pic:blipFill>
                  <pic:spPr>
                    <a:xfrm>
                      <a:off x="0" y="0"/>
                      <a:ext cx="647700" cy="349250"/>
                    </a:xfrm>
                    <a:prstGeom prst="rect">
                      <a:avLst/>
                    </a:prstGeom>
                    <a:noFill/>
                    <a:ln>
                      <a:noFill/>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w:t>
      </w:r>
      <w:r>
        <w:rPr>
          <w:rFonts w:hint="eastAsia" w:ascii="宋体" w:hAnsi="宋体"/>
          <w:b/>
          <w:color w:val="000000"/>
          <w:szCs w:val="21"/>
          <w:lang w:val="en-US" w:eastAsia="zh-CN"/>
        </w:rPr>
        <w:t>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p>
    <w:p>
      <w:pPr>
        <w:ind w:firstLine="843" w:firstLineChars="400"/>
        <w:rPr>
          <w:rFonts w:ascii="宋体" w:hAnsi="宋体"/>
          <w:b/>
          <w:bCs/>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2021.11.21</w:t>
      </w:r>
      <w:r>
        <w:rPr>
          <w:rFonts w:ascii="宋体" w:hAnsi="宋体"/>
          <w:b/>
          <w:color w:val="000000"/>
          <w:szCs w:val="21"/>
        </w:rPr>
        <w:t xml:space="preserve"> </w:t>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4736" w:type="dxa"/>
            <w:gridSpan w:val="2"/>
          </w:tcPr>
          <w:p>
            <w:pPr>
              <w:spacing w:line="280" w:lineRule="exact"/>
              <w:rPr>
                <w:rFonts w:hint="eastAsia"/>
                <w:b/>
                <w:color w:val="000000"/>
                <w:szCs w:val="21"/>
              </w:rPr>
            </w:pPr>
          </w:p>
          <w:p>
            <w:pPr>
              <w:spacing w:line="280" w:lineRule="exact"/>
              <w:rPr>
                <w:b/>
                <w:color w:val="000000"/>
                <w:szCs w:val="21"/>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669925</wp:posOffset>
                  </wp:positionH>
                  <wp:positionV relativeFrom="paragraph">
                    <wp:posOffset>3175</wp:posOffset>
                  </wp:positionV>
                  <wp:extent cx="812165" cy="275590"/>
                  <wp:effectExtent l="0" t="0" r="635" b="3810"/>
                  <wp:wrapNone/>
                  <wp:docPr id="1" name="图片 1"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65153f20abdb73c162b984abccbf35"/>
                          <pic:cNvPicPr>
                            <a:picLocks noChangeAspect="1"/>
                          </pic:cNvPicPr>
                        </pic:nvPicPr>
                        <pic:blipFill>
                          <a:blip r:embed="rId7"/>
                          <a:srcRect l="7647" t="9871" r="7157" b="20799"/>
                          <a:stretch>
                            <a:fillRect/>
                          </a:stretch>
                        </pic:blipFill>
                        <pic:spPr>
                          <a:xfrm>
                            <a:off x="0" y="0"/>
                            <a:ext cx="812165" cy="27559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21</w:t>
            </w:r>
            <w:r>
              <w:rPr>
                <w:rFonts w:hint="eastAsia"/>
                <w:b/>
                <w:color w:val="000000"/>
                <w:szCs w:val="21"/>
              </w:rPr>
              <w:t>日</w:t>
            </w:r>
          </w:p>
        </w:tc>
        <w:tc>
          <w:tcPr>
            <w:tcW w:w="5392" w:type="dxa"/>
            <w:gridSpan w:val="4"/>
          </w:tcPr>
          <w:p>
            <w:pPr>
              <w:spacing w:line="280" w:lineRule="exact"/>
              <w:rPr>
                <w:rFonts w:hint="eastAsia"/>
                <w:b/>
                <w:color w:val="000000"/>
                <w:szCs w:val="21"/>
              </w:rPr>
            </w:pPr>
          </w:p>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21</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57BD6E8C"/>
    <w:rsid w:val="5D9A24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2</TotalTime>
  <ScaleCrop>false</ScaleCrop>
  <LinksUpToDate>false</LinksUpToDate>
  <CharactersWithSpaces>9455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宋明珠</cp:lastModifiedBy>
  <dcterms:modified xsi:type="dcterms:W3CDTF">2021-11-24T05:18:41Z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2052-11.1.0.11115</vt:lpwstr>
  </property>
</Properties>
</file>