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700"/>
        <w:gridCol w:w="21"/>
        <w:gridCol w:w="150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4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馆陶县永旺物业服务有限公司</w:t>
            </w:r>
            <w:bookmarkEnd w:id="7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O：35.15.00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-120650</wp:posOffset>
                  </wp:positionV>
                  <wp:extent cx="803910" cy="583565"/>
                  <wp:effectExtent l="0" t="0" r="3810" b="10795"/>
                  <wp:wrapSquare wrapText="bothSides"/>
                  <wp:docPr id="3" name="图片 2" descr="ef674afec8f41f7dc84ff5d0d53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ef674afec8f41f7dc84ff5d0d53159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379095</wp:posOffset>
                  </wp:positionV>
                  <wp:extent cx="655955" cy="531495"/>
                  <wp:effectExtent l="0" t="0" r="14605" b="1905"/>
                  <wp:wrapSquare wrapText="bothSides"/>
                  <wp:docPr id="2" name="图片 1" descr="微信图片_2021111609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111160915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65405</wp:posOffset>
                  </wp:positionV>
                  <wp:extent cx="664845" cy="398145"/>
                  <wp:effectExtent l="0" t="0" r="5715" b="13335"/>
                  <wp:wrapSquare wrapText="bothSides"/>
                  <wp:docPr id="4" name="图片 3" descr="21ea4f9e603a5316fd805cf670506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21ea4f9e603a5316fd805cf670506c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业务洽谈—合同评审—合同签订—物业服务—自查—检查-满意度调查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违反法规、不能实现预期结果。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需要满足合规性；制定服务控制的准则、作业规范及相关作业记录；核查其设备能力及人员能力；核查相关方的投诉及处理情况，顾客满意情况，监管稽查及媒体曝光情况。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核查关键过程的识别与确认。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重要环境</w:t>
            </w:r>
            <w:r>
              <w:rPr>
                <w:rFonts w:hint="eastAsia"/>
                <w:lang w:val="en-US" w:eastAsia="zh-CN"/>
              </w:rPr>
              <w:t>因素：潜在火灾，绿化消杀用品的使用，固废的排放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设备能力及管理方案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不可接受风险的危险源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潜在火灾、化学品管理失控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设备能力及管理方案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物业管理条例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根据2018年3月19日《国务院关于修改和废止部分行政法规的决定》第三次修订）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国家危险废物名录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作业场所安全使用化学品建议书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147955</wp:posOffset>
                  </wp:positionV>
                  <wp:extent cx="471170" cy="348615"/>
                  <wp:effectExtent l="0" t="0" r="1270" b="1905"/>
                  <wp:wrapThrough wrapText="bothSides">
                    <wp:wrapPolygon>
                      <wp:start x="12576" y="1889"/>
                      <wp:lineTo x="0" y="2833"/>
                      <wp:lineTo x="0" y="16052"/>
                      <wp:lineTo x="8384" y="16997"/>
                      <wp:lineTo x="8384" y="20774"/>
                      <wp:lineTo x="11877" y="20774"/>
                      <wp:lineTo x="11877" y="16997"/>
                      <wp:lineTo x="20960" y="13220"/>
                      <wp:lineTo x="20960" y="11331"/>
                      <wp:lineTo x="16069" y="1889"/>
                      <wp:lineTo x="12576" y="1889"/>
                    </wp:wrapPolygon>
                  </wp:wrapThrough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2021.11.17.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周文</w:t>
            </w:r>
            <w:bookmarkEnd w:id="9"/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2021.11.17</w:t>
            </w:r>
            <w:bookmarkStart w:id="10" w:name="_GoBack"/>
            <w:bookmarkEnd w:id="10"/>
            <w:r>
              <w:rPr>
                <w:rFonts w:hint="eastAsia"/>
                <w:b/>
                <w:sz w:val="20"/>
                <w:lang w:val="en-US" w:eastAsia="zh-CN"/>
              </w:rPr>
              <w:t>.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F03540"/>
    <w:rsid w:val="02F04BB3"/>
    <w:rsid w:val="0466502E"/>
    <w:rsid w:val="07837045"/>
    <w:rsid w:val="0D0C7153"/>
    <w:rsid w:val="16461969"/>
    <w:rsid w:val="24EE7D9B"/>
    <w:rsid w:val="26607179"/>
    <w:rsid w:val="2A6711AA"/>
    <w:rsid w:val="2D5E240E"/>
    <w:rsid w:val="2EBA4399"/>
    <w:rsid w:val="30815AC1"/>
    <w:rsid w:val="3C1A7A06"/>
    <w:rsid w:val="45170925"/>
    <w:rsid w:val="4A995804"/>
    <w:rsid w:val="4B00268C"/>
    <w:rsid w:val="4EB64219"/>
    <w:rsid w:val="5516017D"/>
    <w:rsid w:val="57DA54A6"/>
    <w:rsid w:val="58452317"/>
    <w:rsid w:val="5B0B62AA"/>
    <w:rsid w:val="5E6A32E8"/>
    <w:rsid w:val="5ED71751"/>
    <w:rsid w:val="5FA019BF"/>
    <w:rsid w:val="60F06CC2"/>
    <w:rsid w:val="653D591B"/>
    <w:rsid w:val="667C4500"/>
    <w:rsid w:val="66C27D6F"/>
    <w:rsid w:val="67BC2E06"/>
    <w:rsid w:val="6D5E127F"/>
    <w:rsid w:val="748C3D0B"/>
    <w:rsid w:val="75E023B5"/>
    <w:rsid w:val="775546DD"/>
    <w:rsid w:val="7A9A4D93"/>
    <w:rsid w:val="7C5F6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2021-11-30T08:48:12Z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