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12"/>
        <w:gridCol w:w="1318"/>
        <w:gridCol w:w="121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成都卓微科技有限公司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29.09.01;29.10.07;33.02.01;34.05.00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漆林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29.09.01;29.10.07;33.02.01;34.05.00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3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销售服务流程图：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投标/业务洽谈→签订合同→采购→物资检验→交付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软件开发流程图：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需求分析-概要设计-详细设计-编码-测试-软件交付-验收-维护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主要质量要求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发过程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销售服务过程的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文件编制、方案、效果评估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关键控制点：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研发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企业集成 企业建模框架GB/T 16642-2008、民用机载计算机软件质量保证大纲编写指南HB 7233-1995、信息研发 软件维护GB/T 20157-2006、软件工程 产品质量 第1部分:质量模型GB/T 16260.1-2006、软件工程 产品质量 第2部分:外部度量GB/T 16260.2-2006、软件配置管理GJB 5880-2006、计算机软件测试文档编制规范GB/T 9386-2008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软件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发过程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销售服务过程的</w:t>
            </w:r>
            <w:r>
              <w:rPr>
                <w:rFonts w:hint="eastAsia" w:ascii="宋体" w:hAnsi="宋体"/>
                <w:sz w:val="18"/>
                <w:szCs w:val="18"/>
              </w:rPr>
              <w:t>过程监控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41910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5173E7"/>
    <w:rsid w:val="60643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2021-11-15T06:52:34Z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