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重庆市搏雅清洁服务有限公司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Q：35.16.01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O：35.16.01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保洁服务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签订合同——拟定保洁方案---—安排保洁人员——保洁服务---服务质量检查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保洁服务过程控制方法：拟定管理制度、操作规范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、实施方案</w:t>
            </w:r>
            <w:r>
              <w:rPr>
                <w:rFonts w:hint="eastAsia"/>
                <w:b w:val="0"/>
                <w:bCs/>
                <w:sz w:val="20"/>
              </w:rPr>
              <w:t>来保证服务的实施，服务过程作为特殊过程，在实施前应确认过程是否满足要求。造成风险就是顾客投诉或满意度不满足。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《保洁服务质量规范》、《清洗保洁服务通则》、污水排入城镇下水道水质标准（GB/T 31962-2015）、大气污染物综合排放标准（GB 16297-1996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）</w:t>
            </w:r>
            <w:r>
              <w:rPr>
                <w:rFonts w:hint="eastAsia"/>
                <w:b w:val="0"/>
                <w:bCs/>
                <w:sz w:val="20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服务检验项目：服务及时性、清洁</w:t>
            </w:r>
            <w:r>
              <w:rPr>
                <w:rFonts w:hint="eastAsia"/>
                <w:sz w:val="20"/>
                <w:lang w:eastAsia="zh-CN"/>
              </w:rPr>
              <w:t>程度达到检验标准</w:t>
            </w:r>
            <w:r>
              <w:rPr>
                <w:rFonts w:hint="eastAsia"/>
                <w:sz w:val="20"/>
              </w:rPr>
              <w:t>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无</w:t>
            </w:r>
            <w:r>
              <w:rPr>
                <w:rFonts w:hint="eastAsia"/>
                <w:sz w:val="20"/>
              </w:rPr>
              <w:t>型式试验要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130175</wp:posOffset>
                  </wp:positionV>
                  <wp:extent cx="371475" cy="341630"/>
                  <wp:effectExtent l="0" t="0" r="9525" b="889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2021年11月19日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123825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2021年11月19日 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1E78D9"/>
    <w:rsid w:val="1AB377E9"/>
    <w:rsid w:val="22C17821"/>
    <w:rsid w:val="32A41442"/>
    <w:rsid w:val="5C5D794F"/>
    <w:rsid w:val="6ACB61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3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zx</cp:lastModifiedBy>
  <dcterms:modified xsi:type="dcterms:W3CDTF">2021-11-16T07:18:10Z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