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0695-2020-O-2021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昊业电力器材有限公司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昊业电力器材有限公司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河北省任丘市麻家坞镇刘家泊村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河北省任丘市麻家坞镇刘家泊村</w:t>
            </w:r>
          </w:p>
        </w:tc>
        <w:tc>
          <w:tcPr>
            <w:tcW w:w="1242" w:type="dxa"/>
            <w:vMerge w:val="continue"/>
            <w:vAlign w:val="center"/>
          </w:tcPr>
          <w:p/>
        </w:tc>
        <w:tc>
          <w:tcPr>
            <w:tcW w:w="1771" w:type="dxa"/>
          </w:tcPr>
          <w:p>
            <w:bookmarkStart w:id="8" w:name="办公邮编"/>
            <w:r>
              <w:t>062550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9" w:name="联系人"/>
            <w:r>
              <w:t>纪荷叶</w:t>
            </w:r>
            <w:bookmarkEnd w:id="9"/>
          </w:p>
        </w:tc>
        <w:tc>
          <w:tcPr>
            <w:tcW w:w="1313" w:type="dxa"/>
            <w:vAlign w:val="center"/>
          </w:tcPr>
          <w:p>
            <w:r>
              <w:rPr>
                <w:rFonts w:hint="eastAsia"/>
              </w:rPr>
              <w:t>电话.</w:t>
            </w:r>
          </w:p>
        </w:tc>
        <w:tc>
          <w:tcPr>
            <w:tcW w:w="2180" w:type="dxa"/>
            <w:vAlign w:val="center"/>
          </w:tcPr>
          <w:p>
            <w:bookmarkStart w:id="10" w:name="联系人电话"/>
            <w:r>
              <w:t>18831786333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何浩丹</w:t>
            </w:r>
            <w:bookmarkEnd w:id="12"/>
          </w:p>
        </w:tc>
        <w:tc>
          <w:tcPr>
            <w:tcW w:w="1313" w:type="dxa"/>
            <w:vAlign w:val="center"/>
          </w:tcPr>
          <w:p>
            <w:r>
              <w:rPr>
                <w:rFonts w:hint="eastAsia"/>
              </w:rPr>
              <w:t>管理者代表</w:t>
            </w:r>
          </w:p>
        </w:tc>
        <w:tc>
          <w:tcPr>
            <w:tcW w:w="2180" w:type="dxa"/>
          </w:tcPr>
          <w:p>
            <w:bookmarkStart w:id="13" w:name="管理者代表"/>
            <w:r>
              <w:t>纪荷叶</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 w:val="24"/>
                <w:szCs w:val="24"/>
              </w:rPr>
              <w:t>下料—冲压—表面处理</w:t>
            </w:r>
            <w:r>
              <w:rPr>
                <w:rFonts w:hint="eastAsia"/>
                <w:sz w:val="24"/>
                <w:szCs w:val="24"/>
                <w:lang w:eastAsia="zh-CN"/>
              </w:rPr>
              <w:t>（外包）—</w:t>
            </w:r>
            <w:r>
              <w:rPr>
                <w:rFonts w:hint="eastAsia"/>
                <w:sz w:val="24"/>
                <w:szCs w:val="24"/>
                <w:lang w:val="en-US" w:eastAsia="zh-CN"/>
              </w:rPr>
              <w:t>焊接（必要时）</w:t>
            </w:r>
            <w:r>
              <w:rPr>
                <w:rFonts w:hint="eastAsia"/>
                <w:sz w:val="24"/>
                <w:szCs w:val="24"/>
              </w:rPr>
              <w:t>—装配</w:t>
            </w:r>
            <w:r>
              <w:rPr>
                <w:rFonts w:hint="eastAsia"/>
                <w:sz w:val="24"/>
                <w:szCs w:val="24"/>
                <w:lang w:eastAsia="zh-CN"/>
              </w:rPr>
              <w:t>—</w:t>
            </w:r>
            <w:r>
              <w:rPr>
                <w:rFonts w:hint="eastAsia"/>
                <w:sz w:val="24"/>
                <w:szCs w:val="24"/>
                <w:lang w:val="en-US" w:eastAsia="zh-CN"/>
              </w:rPr>
              <w:t>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2021年11月20日 上午至2021年11月20日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河北省任丘市麻家坞镇刘家泊村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1"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rPr>
                <w:rFonts w:ascii="宋体"/>
                <w:b/>
                <w:color w:val="0000FF"/>
                <w:szCs w:val="21"/>
              </w:rPr>
            </w:pPr>
            <w:r>
              <w:rPr>
                <w:rFonts w:hint="eastAsia" w:ascii="宋体"/>
                <w:b/>
                <w:color w:val="0000FF"/>
                <w:szCs w:val="21"/>
              </w:rPr>
              <w:t>□可穿戴技术□人工智能□其他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线路铁附件、标识牌、电力金具、钢绞线的生产及相关的职业健康安全管理活动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17.11.03;17.12.03;17.12.05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lang w:val="en-US" w:eastAsia="zh-CN"/>
              </w:rPr>
              <w:t>期</w:t>
            </w:r>
            <w:r>
              <w:rPr>
                <w:rFonts w:hint="eastAsia"/>
              </w:rPr>
              <w:t>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86"/>
        <w:gridCol w:w="555"/>
        <w:gridCol w:w="2336"/>
        <w:gridCol w:w="18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586" w:type="dxa"/>
            <w:shd w:val="clear" w:color="auto" w:fill="F3F3F3"/>
            <w:tcMar>
              <w:left w:w="57" w:type="dxa"/>
              <w:right w:w="57" w:type="dxa"/>
            </w:tcMar>
          </w:tcPr>
          <w:p>
            <w:r>
              <w:rPr>
                <w:rFonts w:hint="eastAsia"/>
              </w:rPr>
              <w:t>经营场所的地址</w:t>
            </w:r>
          </w:p>
          <w:p/>
        </w:tc>
        <w:tc>
          <w:tcPr>
            <w:tcW w:w="555" w:type="dxa"/>
            <w:shd w:val="clear" w:color="auto" w:fill="F3F3F3"/>
            <w:tcMar>
              <w:left w:w="57" w:type="dxa"/>
              <w:right w:w="57" w:type="dxa"/>
            </w:tcMar>
          </w:tcPr>
          <w:p>
            <w:r>
              <w:rPr>
                <w:rFonts w:hint="eastAsia"/>
              </w:rPr>
              <w:t>员工人数</w:t>
            </w:r>
          </w:p>
        </w:tc>
        <w:tc>
          <w:tcPr>
            <w:tcW w:w="2336" w:type="dxa"/>
            <w:shd w:val="clear" w:color="auto" w:fill="F3F3F3"/>
            <w:tcMar>
              <w:left w:w="57" w:type="dxa"/>
              <w:right w:w="57" w:type="dxa"/>
            </w:tcMar>
          </w:tcPr>
          <w:p>
            <w:r>
              <w:rPr>
                <w:rFonts w:hint="eastAsia"/>
              </w:rPr>
              <w:t>审核范围（产品和过程）</w:t>
            </w:r>
          </w:p>
        </w:tc>
        <w:tc>
          <w:tcPr>
            <w:tcW w:w="183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昊业电力器材有限公司</w:t>
            </w:r>
            <w:r>
              <w:rPr>
                <w:rFonts w:hint="eastAsia"/>
                <w:lang w:val="en-US" w:eastAsia="zh-CN"/>
              </w:rPr>
              <w:t>/</w:t>
            </w:r>
            <w:r>
              <w:t>河北省任丘市麻家坞镇刘家泊村</w:t>
            </w:r>
          </w:p>
        </w:tc>
        <w:tc>
          <w:tcPr>
            <w:tcW w:w="1586" w:type="dxa"/>
          </w:tcPr>
          <w:p>
            <w:pPr>
              <w:rPr>
                <w:lang w:val="de-DE" w:eastAsia="ja-JP"/>
              </w:rPr>
            </w:pPr>
            <w:r>
              <w:t>河北省任丘市麻家坞镇刘家泊村</w:t>
            </w:r>
          </w:p>
        </w:tc>
        <w:tc>
          <w:tcPr>
            <w:tcW w:w="555" w:type="dxa"/>
            <w:vAlign w:val="center"/>
          </w:tcPr>
          <w:p>
            <w:pPr>
              <w:rPr>
                <w:rFonts w:hint="default" w:eastAsia="宋体"/>
                <w:lang w:val="en-US" w:eastAsia="zh-CN"/>
              </w:rPr>
            </w:pPr>
            <w:r>
              <w:rPr>
                <w:rFonts w:hint="eastAsia"/>
                <w:lang w:val="en-US" w:eastAsia="zh-CN"/>
              </w:rPr>
              <w:t>25</w:t>
            </w:r>
          </w:p>
        </w:tc>
        <w:tc>
          <w:tcPr>
            <w:tcW w:w="2336" w:type="dxa"/>
            <w:vAlign w:val="center"/>
          </w:tcPr>
          <w:p>
            <w:pPr>
              <w:rPr>
                <w:lang w:eastAsia="ja-JP"/>
              </w:rPr>
            </w:pPr>
            <w:r>
              <w:t>线路铁附件、标识牌、电力金具、钢绞线的生产</w:t>
            </w:r>
          </w:p>
        </w:tc>
        <w:tc>
          <w:tcPr>
            <w:tcW w:w="1833" w:type="dxa"/>
            <w:vAlign w:val="center"/>
          </w:tcPr>
          <w:p>
            <w:pPr>
              <w:rPr>
                <w:rFonts w:hint="default" w:eastAsia="宋体"/>
                <w:lang w:val="en-US" w:eastAsia="zh-CN"/>
              </w:rPr>
            </w:pPr>
            <w:r>
              <w:rPr>
                <w:rFonts w:hint="eastAsia"/>
                <w:lang w:val="en-US" w:eastAsia="zh-CN"/>
              </w:rPr>
              <w:t>GB/T45001-2020</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84"/>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484" w:type="dxa"/>
            <w:vAlign w:val="center"/>
          </w:tcPr>
          <w:p>
            <w:r>
              <w:rPr>
                <w:rFonts w:hint="eastAsia"/>
              </w:rPr>
              <w:t>审核员注册证书号</w:t>
            </w:r>
          </w:p>
        </w:tc>
        <w:tc>
          <w:tcPr>
            <w:tcW w:w="256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484" w:type="dxa"/>
            <w:vAlign w:val="center"/>
          </w:tcPr>
          <w:p>
            <w:r>
              <w:t>2020-N1OHSMS-3022240</w:t>
            </w:r>
          </w:p>
        </w:tc>
        <w:tc>
          <w:tcPr>
            <w:tcW w:w="2565" w:type="dxa"/>
            <w:vAlign w:val="center"/>
          </w:tcPr>
          <w:p>
            <w:r>
              <w:t>17.11.03,17.12.03,17.12.05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484" w:type="dxa"/>
            <w:vAlign w:val="center"/>
          </w:tcPr>
          <w:p>
            <w:r>
              <w:rPr>
                <w:rFonts w:hint="eastAsia"/>
              </w:rPr>
              <w:t>工作单位</w:t>
            </w:r>
          </w:p>
        </w:tc>
        <w:tc>
          <w:tcPr>
            <w:tcW w:w="2565"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eastAsia="宋体"/>
                <w:lang w:val="en-US" w:eastAsia="zh-CN"/>
              </w:rPr>
            </w:pPr>
            <w:r>
              <w:rPr>
                <w:rFonts w:hint="eastAsia"/>
                <w:lang w:val="en-US" w:eastAsia="zh-CN"/>
              </w:rPr>
              <w:t>/</w:t>
            </w:r>
          </w:p>
        </w:tc>
        <w:tc>
          <w:tcPr>
            <w:tcW w:w="1089" w:type="dxa"/>
            <w:vAlign w:val="center"/>
          </w:tcPr>
          <w:p/>
        </w:tc>
        <w:tc>
          <w:tcPr>
            <w:tcW w:w="711" w:type="dxa"/>
            <w:vAlign w:val="center"/>
          </w:tcPr>
          <w:p/>
        </w:tc>
        <w:tc>
          <w:tcPr>
            <w:tcW w:w="3484" w:type="dxa"/>
            <w:vAlign w:val="center"/>
          </w:tcPr>
          <w:p/>
        </w:tc>
        <w:tc>
          <w:tcPr>
            <w:tcW w:w="2565"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ascii="Times New Roman" w:hAnsi="Times New Roman" w:eastAsia="宋体" w:cs="Times New Roman"/>
                <w:b w:val="0"/>
                <w:bCs w:val="0"/>
                <w:color w:val="auto"/>
                <w:sz w:val="21"/>
                <w:szCs w:val="21"/>
              </w:rPr>
              <w:t>上次审核</w:t>
            </w:r>
            <w:r>
              <w:rPr>
                <w:rFonts w:hint="eastAsia" w:cs="Times New Roman"/>
                <w:b w:val="0"/>
                <w:bCs w:val="0"/>
                <w:color w:val="auto"/>
                <w:sz w:val="21"/>
                <w:szCs w:val="21"/>
                <w:lang w:val="en-US" w:eastAsia="zh-CN"/>
              </w:rPr>
              <w:t>开具的</w:t>
            </w:r>
            <w:r>
              <w:rPr>
                <w:rFonts w:hint="default" w:ascii="Times New Roman" w:hAnsi="Times New Roman" w:eastAsia="宋体" w:cs="Times New Roman"/>
                <w:b w:val="0"/>
                <w:bCs w:val="0"/>
                <w:color w:val="auto"/>
                <w:sz w:val="21"/>
                <w:szCs w:val="21"/>
              </w:rPr>
              <w:t>不符合项</w:t>
            </w:r>
            <w:r>
              <w:rPr>
                <w:rFonts w:hint="eastAsia" w:cs="Times New Roman"/>
                <w:b w:val="0"/>
                <w:bCs w:val="0"/>
                <w:color w:val="auto"/>
                <w:sz w:val="21"/>
                <w:szCs w:val="21"/>
                <w:lang w:val="en-US" w:eastAsia="zh-CN"/>
              </w:rPr>
              <w:t>为供销部8.1.4条款，本次审核未发现类似问题，采取的措施有效。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63500</wp:posOffset>
                  </wp:positionH>
                  <wp:positionV relativeFrom="paragraph">
                    <wp:posOffset>296545</wp:posOffset>
                  </wp:positionV>
                  <wp:extent cx="1061085" cy="51054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61085" cy="51054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2021年11月20日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sz w:val="20"/>
              </w:rPr>
              <w:t>线路铁附件、标识牌、电力金具、钢绞线的生产及相关的职业健康安全管理活动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镀锌</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cs="宋体"/>
                <w:szCs w:val="22"/>
                <w:lang w:eastAsia="zh-CN"/>
              </w:rPr>
              <w:t>安全生产，持续改进，满足各方需求；遵守法规，关爱生命，确保员工健康。</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何胜利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pPr>
              <w:adjustRightInd w:val="0"/>
              <w:snapToGrid w:val="0"/>
              <w:spacing w:line="276" w:lineRule="auto"/>
              <w:ind w:firstLine="420" w:firstLineChars="200"/>
              <w:rPr>
                <w:rFonts w:hint="eastAsia"/>
                <w:lang w:val="zh-CN" w:eastAsia="zh-CN"/>
              </w:rPr>
            </w:pPr>
            <w:r>
              <w:rPr>
                <w:rFonts w:hint="eastAsia"/>
                <w:lang w:val="zh-CN" w:eastAsia="zh-CN"/>
              </w:rPr>
              <w:t>风险和机遇：人员素质参差不齐，环保意识不强，对岗位环境因素认识不足，控制方法不明确；</w:t>
            </w:r>
          </w:p>
          <w:p>
            <w:pPr>
              <w:adjustRightInd w:val="0"/>
              <w:snapToGrid w:val="0"/>
              <w:spacing w:line="276" w:lineRule="auto"/>
              <w:ind w:firstLine="420" w:firstLineChars="200"/>
              <w:rPr>
                <w:rFonts w:hint="eastAsia"/>
                <w:lang w:val="zh-CN" w:eastAsia="zh-CN"/>
              </w:rPr>
            </w:pPr>
            <w:r>
              <w:rPr>
                <w:rFonts w:hint="eastAsia"/>
                <w:lang w:val="zh-CN" w:eastAsia="zh-CN"/>
              </w:rPr>
              <w:t>应对措施：制定相应管理文件，组织员工参与岗位环境因素的识别，岗位重要因素的培训。</w:t>
            </w:r>
          </w:p>
          <w:p>
            <w:pPr>
              <w:adjustRightInd w:val="0"/>
              <w:snapToGrid w:val="0"/>
              <w:spacing w:line="276" w:lineRule="auto"/>
              <w:ind w:firstLine="420" w:firstLineChars="200"/>
              <w:rPr>
                <w:rFonts w:hint="eastAsia"/>
                <w:lang w:val="zh-CN" w:eastAsia="zh-CN"/>
              </w:rPr>
            </w:pPr>
            <w:r>
              <w:rPr>
                <w:rFonts w:hint="eastAsia"/>
                <w:lang w:val="zh-CN" w:eastAsia="zh-CN"/>
              </w:rPr>
              <w:t>风险和机遇：适用环境法律法规的识别、收集及宣传不够，相对应公司内部活动及环境因素不够明确，部分员工守法意识淡薄。</w:t>
            </w:r>
          </w:p>
          <w:p>
            <w:pPr>
              <w:adjustRightInd w:val="0"/>
              <w:snapToGrid w:val="0"/>
              <w:spacing w:line="276" w:lineRule="auto"/>
              <w:ind w:firstLine="420" w:firstLineChars="200"/>
              <w:rPr>
                <w:rFonts w:hint="eastAsia"/>
                <w:lang w:val="zh-CN" w:eastAsia="zh-CN"/>
              </w:rPr>
            </w:pPr>
            <w:r>
              <w:rPr>
                <w:rFonts w:hint="eastAsia"/>
                <w:lang w:val="zh-CN" w:eastAsia="zh-CN"/>
              </w:rPr>
              <w:t>应对措施：加强识别、收集，定期更新，重要条款予以培训或纳入制度中。</w:t>
            </w:r>
          </w:p>
          <w:p>
            <w:pPr>
              <w:adjustRightInd w:val="0"/>
              <w:snapToGrid w:val="0"/>
              <w:spacing w:line="276" w:lineRule="auto"/>
              <w:ind w:firstLine="420" w:firstLineChars="200"/>
              <w:rPr>
                <w:rFonts w:hint="eastAsia"/>
                <w:lang w:val="zh-CN" w:eastAsia="zh-CN"/>
              </w:rPr>
            </w:pPr>
            <w:r>
              <w:rPr>
                <w:rFonts w:hint="eastAsia"/>
                <w:lang w:val="zh-CN" w:eastAsia="zh-CN"/>
              </w:rPr>
              <w:t>风险和机遇：在确定潜在的紧急情况  例如：火灾发生；</w:t>
            </w:r>
          </w:p>
          <w:p>
            <w:pPr>
              <w:adjustRightInd w:val="0"/>
              <w:snapToGrid w:val="0"/>
              <w:spacing w:line="276" w:lineRule="auto"/>
              <w:ind w:firstLine="420" w:firstLineChars="200"/>
              <w:rPr>
                <w:rFonts w:hint="eastAsia"/>
                <w:lang w:val="zh-CN" w:eastAsia="zh-CN"/>
              </w:rPr>
            </w:pPr>
            <w:r>
              <w:rPr>
                <w:rFonts w:hint="eastAsia"/>
                <w:lang w:val="zh-CN" w:eastAsia="zh-CN"/>
              </w:rPr>
              <w:t>应对措施：制定应急预案，定期培训防火常识，定期防火演练。</w:t>
            </w:r>
          </w:p>
          <w:p>
            <w:pPr>
              <w:adjustRightInd w:val="0"/>
              <w:snapToGrid w:val="0"/>
              <w:spacing w:line="276" w:lineRule="auto"/>
              <w:rPr>
                <w:rFonts w:hint="eastAsia"/>
                <w:lang w:val="zh-CN" w:eastAsia="zh-CN"/>
              </w:rPr>
            </w:pPr>
            <w:r>
              <w:rPr>
                <w:rFonts w:hint="eastAsia"/>
                <w:lang w:val="zh-CN" w:eastAsia="zh-CN"/>
              </w:rPr>
              <w:t>外部的：</w:t>
            </w:r>
          </w:p>
          <w:p>
            <w:pPr>
              <w:adjustRightInd w:val="0"/>
              <w:snapToGrid w:val="0"/>
              <w:spacing w:line="276" w:lineRule="auto"/>
              <w:ind w:firstLine="420" w:firstLineChars="200"/>
              <w:rPr>
                <w:rFonts w:hint="eastAsia"/>
                <w:lang w:val="zh-CN" w:eastAsia="zh-CN"/>
              </w:rPr>
            </w:pPr>
            <w:r>
              <w:rPr>
                <w:rFonts w:hint="eastAsia"/>
                <w:lang w:val="zh-CN" w:eastAsia="zh-CN"/>
              </w:rPr>
              <w:t>风险和机遇：未履行合规义务可损害组织的声誉或导致诉讼；</w:t>
            </w:r>
          </w:p>
          <w:p>
            <w:pPr>
              <w:adjustRightInd w:val="0"/>
              <w:snapToGrid w:val="0"/>
              <w:spacing w:line="276" w:lineRule="auto"/>
              <w:ind w:firstLine="420" w:firstLineChars="200"/>
              <w:rPr>
                <w:rFonts w:hint="eastAsia"/>
                <w:lang w:val="zh-CN" w:eastAsia="zh-CN"/>
              </w:rPr>
            </w:pPr>
            <w:r>
              <w:rPr>
                <w:rFonts w:hint="eastAsia"/>
                <w:lang w:val="zh-CN" w:eastAsia="zh-CN"/>
              </w:rPr>
              <w:t>应对措施：加强对法律法规执行，遵守法规要求，更多地履行合规义务，能够提升组织的声誉，</w:t>
            </w:r>
          </w:p>
          <w:p>
            <w:pPr>
              <w:adjustRightInd w:val="0"/>
              <w:snapToGrid w:val="0"/>
              <w:spacing w:line="276" w:lineRule="auto"/>
              <w:ind w:firstLine="420" w:firstLineChars="200"/>
              <w:rPr>
                <w:rFonts w:hint="eastAsia"/>
                <w:lang w:val="zh-CN" w:eastAsia="zh-CN"/>
              </w:rPr>
            </w:pPr>
            <w:r>
              <w:rPr>
                <w:rFonts w:hint="eastAsia"/>
                <w:lang w:val="zh-CN" w:eastAsia="zh-CN"/>
              </w:rPr>
              <w:t>风险和机遇：附近设施 例如：工厂、道路的潜在紧急情况。</w:t>
            </w:r>
          </w:p>
          <w:p>
            <w:pPr>
              <w:rPr>
                <w:rFonts w:hint="eastAsia"/>
                <w:lang w:val="zh-CN" w:eastAsia="zh-CN"/>
              </w:rPr>
            </w:pPr>
            <w:r>
              <w:rPr>
                <w:rFonts w:hint="eastAsia"/>
                <w:lang w:val="zh-CN" w:eastAsia="zh-CN"/>
              </w:rPr>
              <w:t>应对措施：加强外部沟通，加强环境意识，及应急情况通报，启动本单位应急预案</w:t>
            </w:r>
          </w:p>
          <w:p>
            <w:pPr>
              <w:pStyle w:val="2"/>
              <w:rPr>
                <w:rFonts w:hint="default"/>
                <w:lang w:val="en-US"/>
              </w:rPr>
            </w:pPr>
            <w:r>
              <w:rPr>
                <w:rFonts w:hint="eastAsia" w:ascii="宋体" w:hAnsi="宋体" w:eastAsia="宋体" w:cs="宋体"/>
                <w:color w:val="auto"/>
                <w:sz w:val="21"/>
                <w:szCs w:val="21"/>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widowControl/>
              <w:spacing w:line="240" w:lineRule="auto"/>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火灾、触电事故为零</w:t>
            </w:r>
            <w:r>
              <w:rPr>
                <w:rFonts w:hint="eastAsia" w:ascii="宋体" w:hAnsi="宋体" w:eastAsia="宋体" w:cs="宋体"/>
              </w:rPr>
              <w:t>；</w:t>
            </w:r>
          </w:p>
          <w:p>
            <w:pPr>
              <w:spacing w:line="24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人身伤害事故为零</w:t>
            </w:r>
            <w:r>
              <w:rPr>
                <w:rFonts w:hint="eastAsia" w:ascii="宋体" w:hAnsi="宋体" w:eastAsia="宋体" w:cs="宋体"/>
              </w:rPr>
              <w:t>；</w:t>
            </w:r>
          </w:p>
          <w:p>
            <w:pPr>
              <w:spacing w:line="240" w:lineRule="auto"/>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eastAsia="zh-CN"/>
              </w:rPr>
              <w:t>职业病发病率为零。</w:t>
            </w:r>
          </w:p>
          <w:p>
            <w:pPr>
              <w:rPr>
                <w:rFonts w:hint="eastAsia" w:ascii="宋体" w:hAnsi="宋体" w:eastAsia="宋体" w:cs="宋体"/>
              </w:rPr>
            </w:pPr>
            <w:r>
              <w:rPr>
                <w:rFonts w:hint="eastAsia" w:ascii="宋体" w:hAnsi="宋体" w:eastAsia="宋体" w:cs="宋体"/>
              </w:rPr>
              <w:t>对目标进行了分解，建立了各部门的分目标，每季度末对目标进行考核，查看“</w:t>
            </w:r>
            <w:r>
              <w:rPr>
                <w:rFonts w:hint="eastAsia" w:ascii="宋体" w:hAnsi="宋体" w:eastAsia="宋体" w:cs="宋体"/>
                <w:color w:val="auto"/>
                <w:lang w:val="en-US" w:eastAsia="zh-CN"/>
              </w:rPr>
              <w:t>2021</w:t>
            </w:r>
            <w:r>
              <w:rPr>
                <w:rFonts w:hint="eastAsia" w:ascii="宋体" w:hAnsi="宋体" w:eastAsia="宋体" w:cs="宋体"/>
              </w:rPr>
              <w:t>年</w:t>
            </w:r>
            <w:r>
              <w:rPr>
                <w:rFonts w:hint="eastAsia" w:ascii="宋体" w:hAnsi="宋体" w:eastAsia="宋体" w:cs="宋体"/>
                <w:lang w:eastAsia="zh-CN"/>
              </w:rPr>
              <w:t>职业健康办公室</w:t>
            </w:r>
            <w:r>
              <w:rPr>
                <w:rFonts w:hint="eastAsia" w:ascii="宋体" w:hAnsi="宋体" w:eastAsia="宋体" w:cs="宋体"/>
              </w:rPr>
              <w:t>目标</w:t>
            </w:r>
            <w:r>
              <w:rPr>
                <w:rFonts w:hint="eastAsia" w:ascii="宋体" w:hAnsi="宋体" w:eastAsia="宋体" w:cs="宋体"/>
                <w:lang w:eastAsia="zh-CN"/>
              </w:rPr>
              <w:t>指标与管理方案及</w:t>
            </w:r>
            <w:r>
              <w:rPr>
                <w:rFonts w:hint="eastAsia" w:ascii="宋体" w:hAnsi="宋体" w:eastAsia="宋体" w:cs="宋体"/>
              </w:rPr>
              <w:t>完成情况统计表”，目标已基本实现</w:t>
            </w:r>
          </w:p>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2500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宋体" w:hAnsi="宋体"/>
                <w:sz w:val="21"/>
                <w:szCs w:val="21"/>
                <w:lang w:eastAsia="zh-CN"/>
              </w:rPr>
              <w:t>电焊机、</w:t>
            </w:r>
            <w:r>
              <w:rPr>
                <w:rFonts w:hint="eastAsia" w:ascii="宋体" w:hAnsi="宋体"/>
                <w:sz w:val="21"/>
                <w:szCs w:val="21"/>
                <w:lang w:val="en-US" w:eastAsia="zh-CN"/>
              </w:rPr>
              <w:t>冲床、切割机、绞线机</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p>
          <w:p>
            <w:pPr>
              <w:rPr>
                <w:u w:val="single"/>
              </w:rPr>
            </w:pPr>
          </w:p>
          <w:p>
            <w:r>
              <w:rPr>
                <w:rFonts w:hint="eastAsia"/>
              </w:rPr>
              <w:t>特种设备：</w:t>
            </w:r>
            <w:r>
              <w:rPr>
                <w:rFonts w:hint="eastAsia" w:ascii="Wingdings" w:hAnsi="Wingdings"/>
              </w:rPr>
              <w:t>¨</w:t>
            </w:r>
            <w:r>
              <w:rPr>
                <w:rFonts w:hint="eastAsia"/>
              </w:rPr>
              <w:t>不适用</w:t>
            </w:r>
          </w:p>
          <w:p>
            <w:pPr>
              <w:ind w:firstLine="1050" w:firstLineChars="500"/>
            </w:pPr>
            <w:r>
              <w:rPr>
                <w:rFonts w:hint="eastAsia"/>
              </w:rPr>
              <w:t>辅助场所：</w:t>
            </w:r>
            <w:r>
              <w:rPr>
                <w:rFonts w:hint="eastAsia" w:ascii="Wingdings" w:hAnsi="Wingdings"/>
              </w:rPr>
              <w:t>¨</w:t>
            </w:r>
            <w:r>
              <w:rPr>
                <w:rFonts w:hint="eastAsia"/>
              </w:rPr>
              <w:t>低压配电室</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p>
          <w:p>
            <w:pPr>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lang w:val="en-US" w:eastAsia="zh-CN"/>
              </w:rPr>
            </w:pPr>
            <w:r>
              <w:rPr>
                <w:rFonts w:hint="eastAsia"/>
              </w:rPr>
              <w:t>外部提供包括：¨</w:t>
            </w:r>
            <w:r>
              <w:rPr>
                <w:rFonts w:hint="eastAsia"/>
              </w:rPr>
              <w:t>运输¨</w:t>
            </w:r>
            <w:r>
              <w:rPr>
                <w:rFonts w:hint="eastAsia"/>
                <w:lang w:val="en-US" w:eastAsia="zh-CN"/>
              </w:rPr>
              <w:t>镀锌</w:t>
            </w:r>
          </w:p>
          <w:p>
            <w:pPr>
              <w:jc w:val="left"/>
            </w:pPr>
            <w:r>
              <w:rPr>
                <w:rFonts w:hint="eastAsia"/>
              </w:rPr>
              <w:t>控制方式：¨</w:t>
            </w:r>
            <w:r>
              <w:rPr>
                <w:rFonts w:hint="eastAsia"/>
              </w:rPr>
              <w:t>合同约定¨</w:t>
            </w:r>
            <w:r>
              <w:rPr>
                <w:rFonts w:hint="eastAsia"/>
              </w:rPr>
              <w:t>危害告知¨</w:t>
            </w:r>
            <w:r>
              <w:rPr>
                <w:rFonts w:hint="eastAsia"/>
              </w:rPr>
              <w:t>现场检查¨</w:t>
            </w:r>
            <w:r>
              <w:rPr>
                <w:rFonts w:hint="eastAsia"/>
              </w:rPr>
              <w:t>专人跟踪¨</w:t>
            </w:r>
            <w:r>
              <w:rPr>
                <w:rFonts w:hint="eastAsia"/>
              </w:rPr>
              <w:t>出入控制¨</w:t>
            </w:r>
            <w:r>
              <w:rPr>
                <w:rFonts w:hint="eastAsia"/>
              </w:rPr>
              <w:t>其他</w:t>
            </w:r>
          </w:p>
          <w:p>
            <w:pPr>
              <w:jc w:val="left"/>
              <w:rPr>
                <w:rFonts w:hint="eastAsia"/>
              </w:rPr>
            </w:pPr>
            <w:r>
              <w:rPr>
                <w:rFonts w:hint="eastAsia"/>
              </w:rPr>
              <w:t>对外部供方的控制：¨</w:t>
            </w:r>
            <w:r>
              <w:rPr>
                <w:rFonts w:hint="eastAsia"/>
              </w:rPr>
              <w:t>符合要求。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消防演习，配置灭火器</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p>
          <w:p>
            <w:pPr>
              <w:rPr>
                <w:rFonts w:hint="eastAsia" w:eastAsia="宋体"/>
                <w:u w:val="single"/>
                <w:lang w:eastAsia="zh-CN"/>
              </w:rPr>
            </w:pPr>
            <w:r>
              <w:rPr>
                <w:rFonts w:hint="eastAsia"/>
              </w:rPr>
              <w:t>特种设备管理：</w:t>
            </w:r>
            <w:r>
              <w:rPr>
                <w:rFonts w:hint="eastAsia" w:ascii="Wingdings" w:hAnsi="Wingdings"/>
                <w:lang w:val="en-US" w:eastAsia="zh-CN"/>
              </w:rPr>
              <w:t>无</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eastAsia" w:eastAsia="宋体"/>
                <w:lang w:val="en-US" w:eastAsia="zh-CN"/>
              </w:rPr>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触电</w:t>
            </w:r>
            <w:r>
              <w:rPr>
                <w:rFonts w:hint="eastAsia" w:ascii="Wingdings" w:hAnsi="Wingdings"/>
              </w:rPr>
              <w:t>¨</w:t>
            </w:r>
            <w:r>
              <w:rPr>
                <w:rFonts w:hint="eastAsia"/>
                <w:lang w:val="en-US" w:eastAsia="zh-CN"/>
              </w:rPr>
              <w:t>机械伤害</w:t>
            </w:r>
          </w:p>
          <w:p>
            <w:r>
              <w:rPr>
                <w:rFonts w:hint="eastAsia"/>
              </w:rPr>
              <w:t>审核周期内发生过紧急情况：</w:t>
            </w:r>
            <w:r>
              <w:rPr>
                <w:rFonts w:hint="eastAsia" w:ascii="Wingdings" w:hAnsi="Wingdings"/>
              </w:rPr>
              <w:t>¨</w:t>
            </w:r>
            <w:r>
              <w:rPr>
                <w:rFonts w:hint="eastAsia"/>
              </w:rPr>
              <w:t>未发生。</w:t>
            </w:r>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10-11</w:t>
            </w:r>
            <w:r>
              <w:rPr>
                <w:rFonts w:hint="eastAsia"/>
              </w:rPr>
              <w:t>日实施了职业健康安全管理体系内部审核，对职业健康安全管理体系的符合性和有效性进行了审核。内审发现</w:t>
            </w:r>
            <w:r>
              <w:rPr>
                <w:rFonts w:hint="eastAsia"/>
                <w:lang w:val="en-US" w:eastAsia="zh-CN"/>
              </w:rPr>
              <w:t>2</w:t>
            </w:r>
            <w:r>
              <w:rPr>
                <w:rFonts w:hint="eastAsia"/>
              </w:rPr>
              <w:t>项不符合</w:t>
            </w:r>
            <w:r>
              <w:rPr>
                <w:rFonts w:hint="eastAsia"/>
                <w:lang w:eastAsia="zh-CN"/>
              </w:rPr>
              <w:t>，</w:t>
            </w:r>
            <w:r>
              <w:rPr>
                <w:rFonts w:hint="eastAsia"/>
              </w:rPr>
              <w:t>在本次审核前已完成整改。在公司内完成的这些审核是可信的。</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bookmarkStart w:id="33" w:name="_GoBack"/>
            <w:bookmarkEnd w:id="33"/>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506E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7</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2021-11-24T02:50:22Z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