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43"/>
        <w:gridCol w:w="843"/>
        <w:gridCol w:w="844"/>
        <w:gridCol w:w="5"/>
        <w:gridCol w:w="1285"/>
        <w:gridCol w:w="1505"/>
        <w:gridCol w:w="195"/>
        <w:gridCol w:w="1458"/>
        <w:gridCol w:w="14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4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四川金海纳洲仪器设备有限公司</w:t>
            </w:r>
            <w:bookmarkEnd w:id="7"/>
          </w:p>
        </w:tc>
        <w:tc>
          <w:tcPr>
            <w:tcW w:w="165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46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Q：29.10.07;29.11.05;33.02.02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29.10.07;29.11.05;33.02.02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O</w:t>
            </w:r>
            <w:r>
              <w:rPr>
                <w:sz w:val="20"/>
              </w:rPr>
              <w:t>：29.10.07;29.11.05;33.02.02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Q：29.10.07;29.11.05;33.02.02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29.10.07;29.11.05;33.02.02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O</w:t>
            </w:r>
            <w:r>
              <w:rPr>
                <w:sz w:val="20"/>
              </w:rPr>
              <w:t>：29.10.07;29.11.05;33.02.02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  <w:bookmarkStart w:id="9" w:name="_GoBack"/>
            <w:bookmarkEnd w:id="9"/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实验室设施设备系统集成：</w:t>
            </w:r>
          </w:p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合同签订—采购—安装—调试—验收—交付</w:t>
            </w:r>
          </w:p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产品销售：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客户需求——项目洽谈——合同签订——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物料采购——交付——验收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物料采购、设备安装调试过程，依据标准和合同控制。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tabs>
                <w:tab w:val="left" w:pos="108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固废排放、火灾等，通过管理方案和应急预案进行控制</w:t>
            </w:r>
            <w:r>
              <w:rPr>
                <w:rFonts w:hint="eastAsia" w:ascii="宋体" w:hAnsi="宋体"/>
              </w:rPr>
              <w:t xml:space="preserve"> 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pacing w:line="460" w:lineRule="atLeast"/>
              <w:rPr>
                <w:rFonts w:ascii="宋体" w:hAnsi="宋体"/>
                <w:spacing w:val="-8"/>
              </w:rPr>
            </w:pPr>
            <w:r>
              <w:rPr>
                <w:rFonts w:hint="eastAsia"/>
                <w:sz w:val="21"/>
                <w:szCs w:val="21"/>
              </w:rPr>
              <w:t>火灾、触电等，通过管理方案和应急预案进行控制。</w:t>
            </w:r>
            <w:r>
              <w:rPr>
                <w:rFonts w:hint="eastAsia" w:ascii="宋体" w:hAnsi="宋体"/>
              </w:rPr>
              <w:t xml:space="preserve"> 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化学品的分类和危险性公示 通则、实验室生物安全通用要求、生物安全实验室建筑技术规范、产品合同法、产品质量法、计量法。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pacing w:line="46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主要质量要求：销售产品质量，设备系统调试等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158750</wp:posOffset>
                  </wp:positionV>
                  <wp:extent cx="371475" cy="365760"/>
                  <wp:effectExtent l="0" t="0" r="9525" b="254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184150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0E20E9C"/>
    <w:rsid w:val="5CF53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2021-11-17T07:41:19Z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