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浙江远大空分设备有限公司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杭州富阳区银湖街道泗洲村泗洲205号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杭州富阳区银湖街道泗洲村泗洲205号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曹晏琼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13588390007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0570-2020-EO-2021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E：PSA制氮装置、制氧装置、压缩空气净化设备的设计、制造（涉及行政许可的产品除外）所涉及的相关环境管理活动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O：PSA制氮装置、制氧装置、压缩空气净化设备的设计、制造（涉及行政许可的产品除外）所涉及的相关职业健康安全管理活动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E：18.02.06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O：18.02.06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  <w:lang w:val="en-US" w:eastAsia="zh-CN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日下午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O:18.02.06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汪桂丽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2021-N1EMS-4043149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2020-N1OHSMS-3043149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295275</wp:posOffset>
                  </wp:positionV>
                  <wp:extent cx="734060" cy="618490"/>
                  <wp:effectExtent l="0" t="0" r="8890" b="10160"/>
                  <wp:wrapNone/>
                  <wp:docPr id="2" name="图片 2" descr="aa9b3f96b6af46d06d61416bc2cb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a9b3f96b6af46d06d61416bc2cb7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spacing w:beforeLines="50" w:afterLines="50"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auto"/>
                <w:sz w:val="21"/>
                <w:szCs w:val="21"/>
                <w:lang w:val="en-US" w:eastAsia="zh-CN"/>
              </w:rPr>
              <w:t>2021.11.15</w:t>
            </w:r>
          </w:p>
          <w:p>
            <w:pPr>
              <w:spacing w:line="240" w:lineRule="exact"/>
              <w:rPr>
                <w:rFonts w:hint="default" w:asci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cs="Arial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color w:val="auto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color w:val="auto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6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color w:val="auto"/>
                <w:szCs w:val="24"/>
              </w:rPr>
            </w:pPr>
            <w:r>
              <w:rPr>
                <w:rFonts w:hint="eastAsia" w:ascii="宋体" w:hAnsi="宋体" w:cs="Arial"/>
                <w:b/>
                <w:color w:val="auto"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EO:4.1理解组织及其环境、4.2理解相关方的需求和期望、4.3 确定管理体系的范围、4.4环境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管理体系及其过程、5.1领导作用和承诺、5.2环境/职业健康安全方针、5.3组织的岗位、职责和权限、O5.4协商与参与、6.1应对风险和机遇的措施、6.2环境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目标及其实现的策划、9.3管理评审、10.1改进、10.3持续改进，</w:t>
            </w:r>
          </w:p>
          <w:p>
            <w:pPr>
              <w:pStyle w:val="11"/>
              <w:spacing w:line="300" w:lineRule="exact"/>
              <w:ind w:firstLine="0" w:firstLineChars="0"/>
              <w:rPr>
                <w:rFonts w:ascii="宋体" w:cs="Arial"/>
                <w:color w:val="auto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30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/>
                <w:b/>
                <w:bCs/>
                <w:color w:val="auto"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E</w:t>
            </w: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>O</w:t>
            </w:r>
            <w:r>
              <w:rPr>
                <w:rFonts w:hint="eastAsia"/>
                <w:color w:val="auto"/>
                <w:sz w:val="21"/>
                <w:szCs w:val="21"/>
              </w:rPr>
              <w:t>: 5.3组织的岗位、职责和权限、6.2环境与职业健康安全目标、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>6.1.2环境因素/危险源辨识与评价、8.1运行策划和控制、</w:t>
            </w:r>
            <w:r>
              <w:rPr>
                <w:rFonts w:hint="eastAsia"/>
                <w:color w:val="auto"/>
                <w:sz w:val="21"/>
                <w:szCs w:val="21"/>
              </w:rPr>
              <w:t>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～</w:t>
            </w:r>
            <w:r>
              <w:rPr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 w:eastAsia="宋体" w:cs="Arial"/>
                <w:b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cs="Arial"/>
                <w:b/>
                <w:color w:val="auto"/>
                <w:szCs w:val="24"/>
                <w:lang w:val="en-US" w:eastAsia="zh-CN"/>
              </w:rPr>
              <w:t>办公室</w:t>
            </w:r>
          </w:p>
          <w:p>
            <w:pPr>
              <w:spacing w:line="30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auto"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5.3组织的岗位、职责和权限、6.2.1环境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目标、6.2.2实现环境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目标措施的策划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9.2 内部审核、10.2不符合/事件和纠正措施，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</w:rPr>
              <w:t>6.1.2环境因素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u w:val="single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</w:rPr>
              <w:t>的识别与评价、6.1.3合规义务、6.1.4措施的策划、8.1运行策划和控制、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9.1监视、测量、分析和评价（9.1.1总则、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</w:rPr>
              <w:t>9.1.2合规性评价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auto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cs="Arial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color w:val="auto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color w:val="auto"/>
                <w:szCs w:val="24"/>
              </w:rPr>
            </w:pPr>
            <w:r>
              <w:rPr>
                <w:rFonts w:hint="eastAsia" w:ascii="宋体" w:hAnsi="宋体" w:cs="Arial"/>
                <w:b/>
                <w:color w:val="auto"/>
                <w:szCs w:val="24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spacing w:line="360" w:lineRule="auto"/>
              <w:rPr>
                <w:rFonts w:ascii="宋体" w:cs="Arial"/>
                <w:color w:val="auto"/>
                <w:szCs w:val="24"/>
              </w:rPr>
            </w:pPr>
            <w:r>
              <w:rPr>
                <w:rFonts w:ascii="宋体" w:hAnsi="宋体" w:cs="Arial"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环境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目标、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应急准备和响应、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auto"/>
                <w:sz w:val="21"/>
                <w:szCs w:val="21"/>
                <w:lang w:val="en-US" w:eastAsia="zh-CN"/>
              </w:rPr>
              <w:t>2021.11.16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ascii="宋体" w:hAnsi="宋体" w:cs="Arial"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none"/>
                <w:lang w:val="en-US" w:eastAsia="zh-CN"/>
              </w:rPr>
              <w:t>O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环境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目标、</w:t>
            </w:r>
            <w:r>
              <w:rPr>
                <w:rFonts w:ascii="宋体" w:hAnsi="宋体" w:cs="Arial"/>
                <w:color w:val="auto"/>
                <w:sz w:val="21"/>
                <w:szCs w:val="21"/>
                <w:u w:val="single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</w:rPr>
              <w:t>、</w:t>
            </w:r>
            <w:r>
              <w:rPr>
                <w:rFonts w:ascii="宋体" w:hAnsi="宋体" w:cs="Arial"/>
                <w:color w:val="auto"/>
                <w:sz w:val="21"/>
                <w:szCs w:val="21"/>
                <w:u w:val="single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</w:rPr>
              <w:t>运行策划和控制、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应急准备和响应、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none"/>
                <w:lang w:val="en-US" w:eastAsia="zh-CN"/>
              </w:rPr>
              <w:t>O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环境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目标、</w:t>
            </w:r>
            <w:r>
              <w:rPr>
                <w:rFonts w:ascii="宋体" w:hAnsi="宋体" w:cs="Arial"/>
                <w:color w:val="auto"/>
                <w:sz w:val="21"/>
                <w:szCs w:val="21"/>
                <w:u w:val="single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</w:rPr>
              <w:t>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</w:rPr>
              <w:t>、</w:t>
            </w:r>
            <w:r>
              <w:rPr>
                <w:rFonts w:ascii="宋体" w:hAnsi="宋体" w:cs="Arial"/>
                <w:color w:val="auto"/>
                <w:sz w:val="21"/>
                <w:szCs w:val="21"/>
                <w:u w:val="single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</w:rPr>
              <w:t>运行策划和控制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应急准备和响应、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top"/>
          </w:tcPr>
          <w:p>
            <w:pPr>
              <w:spacing w:line="300" w:lineRule="exact"/>
              <w:rPr>
                <w:rFonts w:hint="eastAsia" w:asci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/>
                <w:b/>
                <w:bCs/>
                <w:color w:val="auto"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cs="Arial"/>
                <w:color w:val="auto"/>
                <w:sz w:val="21"/>
                <w:szCs w:val="21"/>
                <w:u w:val="none"/>
                <w:lang w:val="en-US" w:eastAsia="zh-CN"/>
              </w:rPr>
              <w:t>O</w:t>
            </w:r>
            <w:r>
              <w:rPr>
                <w:rFonts w:hint="eastAsia" w:ascii="宋体" w:cs="Arial"/>
                <w:color w:val="auto"/>
                <w:sz w:val="21"/>
                <w:szCs w:val="21"/>
              </w:rPr>
              <w:t>: 5.3组织的岗位、职责和权限、6.2环境与职业健康安全目标、</w:t>
            </w:r>
            <w:r>
              <w:rPr>
                <w:rFonts w:hint="eastAsia" w:ascii="宋体" w:cs="Arial"/>
                <w:color w:val="auto"/>
                <w:sz w:val="21"/>
                <w:szCs w:val="21"/>
                <w:u w:val="single"/>
              </w:rPr>
              <w:t>6.1.2环境因素/危险源辨识与评价、8.1运行策划和控制、</w:t>
            </w:r>
            <w:r>
              <w:rPr>
                <w:rFonts w:hint="eastAsia" w:ascii="宋体" w:cs="Arial"/>
                <w:color w:val="auto"/>
                <w:sz w:val="21"/>
                <w:szCs w:val="21"/>
              </w:rPr>
              <w:t>8.2应急准备和响应，</w:t>
            </w:r>
            <w:bookmarkStart w:id="30" w:name="_GoBack"/>
            <w:bookmarkEnd w:id="30"/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宋体" w:cs="Arial"/>
                <w:color w:val="auto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5.3组织的岗位、职责和权限、6.2环境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目标、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</w:rPr>
              <w:t>6.1.2环境因素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</w:rPr>
              <w:t>识别与评价、8.1运行策划和控制、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color w:val="auto"/>
                <w:sz w:val="21"/>
                <w:szCs w:val="21"/>
              </w:rPr>
            </w:pP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cs="Arial"/>
                <w:color w:val="auto"/>
                <w:sz w:val="21"/>
                <w:szCs w:val="21"/>
              </w:rPr>
            </w:pP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color w:val="auto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EMS\OHSMS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color w:val="auto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11710D"/>
    <w:rsid w:val="4CB25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2021-11-19T08:08:06Z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