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常州二维暖烯科技有限公司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肖虎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未能提供环保设备废气处理设施的运行记录。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230505</wp:posOffset>
                  </wp:positionV>
                  <wp:extent cx="445770" cy="342900"/>
                  <wp:effectExtent l="0" t="0" r="11430" b="0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235585</wp:posOffset>
                  </wp:positionV>
                  <wp:extent cx="506095" cy="41973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经验证提供的整改证据，措施有效。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3747135</wp:posOffset>
                  </wp:positionH>
                  <wp:positionV relativeFrom="paragraph">
                    <wp:posOffset>380365</wp:posOffset>
                  </wp:positionV>
                  <wp:extent cx="445770" cy="342900"/>
                  <wp:effectExtent l="0" t="0" r="11430" b="0"/>
                  <wp:wrapNone/>
                  <wp:docPr id="4" name="图片 4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val="en-US" w:eastAsia="zh-CN"/>
              </w:rPr>
              <w:t>21.11.24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C379A"/>
    <w:rsid w:val="15525368"/>
    <w:rsid w:val="15743686"/>
    <w:rsid w:val="20EE1DB6"/>
    <w:rsid w:val="257F6C45"/>
    <w:rsid w:val="346B750C"/>
    <w:rsid w:val="36F469E7"/>
    <w:rsid w:val="6B60619E"/>
    <w:rsid w:val="6B7B2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2021-11-23T06:43:49Z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