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武陵区雨来水产养殖场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湖南省常德市武陵区芦荻山乡张家堰村14组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湖南省常德市武陵区芦荻山乡张家堰村14组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向业壮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13786643388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646158704@qq.com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向业壮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1184-2021-QEO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Q：水产品销售；许可范围内预包装食品（含冷藏冷冻食品）销售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E：水产品销售；许可范围内预包装食品（含冷藏冷冻食品）销售所涉及场所的相关环境管理活动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O：水产品销售；许可范围内预包装食品（含冷藏冷冻食品）销售所涉及场所的相关职业健康安全管理活动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Q：29.07.08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E：29.07.08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O：29.07.08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远程审核于2021年11月16日 上午至2021年11月16日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O:29.07.08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曲丽娜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2020-N1QMS-1230170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2020-N1OHSMS-1230170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13836186635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O:29.07.08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宋翠琳</w:t>
            </w: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2021-N0EMS-1082241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2021-N0OHSMS-1082241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13257234415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0" w:name="_GoBack"/>
            <w:bookmarkEnd w:id="30"/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2021.11.15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345"/>
        <w:gridCol w:w="1289"/>
        <w:gridCol w:w="5855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5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4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5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7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5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11.16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-9：00</w:t>
            </w:r>
          </w:p>
        </w:tc>
        <w:tc>
          <w:tcPr>
            <w:tcW w:w="128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55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7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5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5" w:type="dxa"/>
            <w:vMerge w:val="restart"/>
            <w:vAlign w:val="center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-12：00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：00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（午餐）</w:t>
            </w:r>
          </w:p>
          <w:p>
            <w:pPr>
              <w:pStyle w:val="2"/>
              <w:jc w:val="center"/>
              <w:rPr>
                <w:rFonts w:hint="default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13：00-17：00</w:t>
            </w:r>
          </w:p>
        </w:tc>
        <w:tc>
          <w:tcPr>
            <w:tcW w:w="1289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安全事务代表</w:t>
            </w:r>
          </w:p>
        </w:tc>
        <w:tc>
          <w:tcPr>
            <w:tcW w:w="5855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QEO:4.1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O5.4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协商与参与、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Q6.3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（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EO7.1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）资源总则、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信息交流、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持续改进，</w:t>
            </w:r>
          </w:p>
          <w:p>
            <w:pPr>
              <w:ind w:firstLine="396" w:firstLineChars="200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地方监督抽查情况；顾客满意、相关方投诉及处理情况；一阶段问题验证，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73" w:type="dxa"/>
            <w:tcBorders>
              <w:right w:val="single" w:color="auto" w:sz="8" w:space="0"/>
            </w:tcBorders>
          </w:tcPr>
          <w:p>
            <w:pPr>
              <w:pStyle w:val="2"/>
              <w:jc w:val="lef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B审QO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A审核E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5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9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综合管理部</w:t>
            </w:r>
          </w:p>
        </w:tc>
        <w:tc>
          <w:tcPr>
            <w:tcW w:w="5855" w:type="dxa"/>
            <w:vAlign w:val="top"/>
          </w:tcPr>
          <w:p>
            <w:pPr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hint="eastAsia" w:ascii="宋体" w:hAnsi="宋体" w:cs="Arial"/>
                <w:sz w:val="21"/>
                <w:szCs w:val="21"/>
              </w:rPr>
              <w:t>人员、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7.1.6组织知识、7.2能力、7.3意识、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形成文件的信息的创建和更新、</w:t>
            </w:r>
            <w:r>
              <w:rPr>
                <w:rFonts w:ascii="宋体" w:hAnsi="宋体" w:cs="Arial"/>
                <w:sz w:val="21"/>
                <w:szCs w:val="21"/>
              </w:rPr>
              <w:t>7.5.3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形成文件的信息的控制、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hint="eastAsia" w:ascii="宋体" w:hAnsi="宋体" w:cs="Arial"/>
                <w:sz w:val="21"/>
                <w:szCs w:val="21"/>
              </w:rPr>
              <w:t>外部提供过程、产品和服务的控制、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9.1.1监视、测量、分析和评价总则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9.1.3分析与评价、9.2 内部审核、10.2不合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格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和纠正措施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line="280" w:lineRule="exac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E/OMS: 5.3组织的岗位、职责和权限、6.1.2环境因素/危险源的辨识与评价、6.1.3合规义务、6.1.4措施的策划、6.2.1环境/职业健康安全目标、6.2.2实现环境/职业健康安全目标措施的策划、7.2能力、7.3意识、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7.5.1形成文件的信息总则、7.5.2形成文件的信息的创建和更新、7.5.3形成文件的信息的控制、8.1运行策划和控制、8.2应急准备和响应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9.1监视、测量、分析和评价（9.1.1总则、9.1.2合规性评价）、9.2 内部审核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10.2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事件、不符合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和纠正措施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.</w:t>
            </w:r>
          </w:p>
        </w:tc>
        <w:tc>
          <w:tcPr>
            <w:tcW w:w="1073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5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45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-12：00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：00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（午餐）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13：00-17：00</w:t>
            </w:r>
          </w:p>
        </w:tc>
        <w:tc>
          <w:tcPr>
            <w:tcW w:w="1289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销售管理部</w:t>
            </w:r>
          </w:p>
        </w:tc>
        <w:tc>
          <w:tcPr>
            <w:tcW w:w="5855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eastAsia="宋体" w:cs="Arial"/>
                <w:b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sz w:val="21"/>
                <w:szCs w:val="21"/>
              </w:rPr>
              <w:t>过程运行环境、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sz w:val="21"/>
                <w:szCs w:val="21"/>
              </w:rPr>
              <w:t>监视和测量资源、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8.1运行策划和控制、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产品和服务的要求、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8.3产品和服务的设计和开发不适用确认、8.5.1生产和服务提供的控制、8.5.2产品标识和可追朔性、</w:t>
            </w:r>
            <w:r>
              <w:rPr>
                <w:rFonts w:ascii="宋体" w:hAnsi="宋体" w:cs="Arial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顾客或外部供方的财产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8.5.4产品防护</w:t>
            </w:r>
            <w:r>
              <w:rPr>
                <w:rFonts w:hint="eastAsia" w:ascii="宋体" w:hAnsi="宋体" w:cs="Arial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8.5.5交付后的活动、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8.5.6生产和服务提供的更改控制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8.6产品和服务的放行、8.7不合格输出的控制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顾客满意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1073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58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5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-17：30</w:t>
            </w:r>
          </w:p>
        </w:tc>
        <w:tc>
          <w:tcPr>
            <w:tcW w:w="7144" w:type="dxa"/>
            <w:gridSpan w:val="2"/>
            <w:shd w:val="clear" w:color="auto" w:fill="F2DCDC" w:themeFill="accent2" w:themeFillTint="3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73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B33FB9"/>
    <w:rsid w:val="1FDC4613"/>
    <w:rsid w:val="23D55D98"/>
    <w:rsid w:val="26B566FC"/>
    <w:rsid w:val="2A171CE8"/>
    <w:rsid w:val="51DC742D"/>
    <w:rsid w:val="5BDC02E7"/>
    <w:rsid w:val="5C3959A7"/>
    <w:rsid w:val="7B7C14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hb</cp:lastModifiedBy>
  <dcterms:modified xsi:type="dcterms:W3CDTF">2021-11-15T07:58:14Z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