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5"/>
        <w:gridCol w:w="715"/>
        <w:gridCol w:w="2075"/>
        <w:gridCol w:w="195"/>
        <w:gridCol w:w="730"/>
        <w:gridCol w:w="21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sz w:val="21"/>
                <w:szCs w:val="21"/>
              </w:rPr>
              <w:t>武陵区雨来水产养殖场</w:t>
            </w:r>
            <w:bookmarkEnd w:id="7"/>
          </w:p>
        </w:tc>
        <w:tc>
          <w:tcPr>
            <w:tcW w:w="9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74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bookmarkStart w:id="8" w:name="专业代码"/>
            <w:r>
              <w:rPr>
                <w:rFonts w:hint="eastAsia"/>
                <w:b/>
                <w:sz w:val="20"/>
                <w:lang w:val="en-US" w:eastAsia="zh-CN"/>
              </w:rPr>
              <w:t>Q：29.07.08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E：29.07.08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O：29.07.08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Q：29.07.08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E：29.07.08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O：29.07.08</w:t>
            </w:r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977265" cy="291465"/>
                  <wp:effectExtent l="0" t="0" r="635" b="635"/>
                  <wp:docPr id="3" name="图片 1" descr="81777d9a0972aa9376b84cbeac714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81777d9a0972aa9376b84cbeac714a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9" w:name="_GoBack"/>
            <w:bookmarkEnd w:id="9"/>
          </w:p>
        </w:tc>
        <w:tc>
          <w:tcPr>
            <w:tcW w:w="9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b/>
              </w:rPr>
              <w:t xml:space="preserve">销售：客户接触----合同评审----签订合同-----客户付款------入帐------采购-----客户提货-----验收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销售过程的风险主要是：1、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产品质量不达标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交付前业务人员进行检测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2、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产品性能未能满足客户需求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及时与客户沟通，了解客户需求。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3、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法律法规内容变化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，应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定期检查公司所执行的法律法规、规范、标准的更新信息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需确认过程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：销售服务过程</w:t>
            </w:r>
            <w:r>
              <w:rPr>
                <w:rFonts w:hint="eastAsia"/>
                <w:b/>
                <w:sz w:val="20"/>
              </w:rPr>
              <w:t>。对人员从业资格及能力、设备设施使用保养、</w:t>
            </w:r>
            <w:r>
              <w:rPr>
                <w:rFonts w:hint="eastAsia"/>
                <w:b/>
                <w:sz w:val="20"/>
                <w:lang w:val="en-US" w:eastAsia="zh-CN"/>
              </w:rPr>
              <w:t>工作环境的要求、</w:t>
            </w:r>
            <w:r>
              <w:rPr>
                <w:rFonts w:hint="eastAsia"/>
                <w:b/>
                <w:sz w:val="20"/>
              </w:rPr>
              <w:t>文件规范及过程监控记录控制进行了确认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提供了《环境因素的识别、评价控制程序》，对环境因素评价结果、控制手段等做出了规定。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《环境因素识别评价表》，分别识别了日常办公过程中的固废（废电池、灯管、墨盒、笔）造成的地面污染、水资源利用（拖地、厕所用水）的水资源消耗、照明、空调、办公设施等电能消耗、意外火灾引起的污染大气、污染地面、资源消耗、销售过程（固废、噪声排放、火灾、电能消耗、粉尘排放）、设备维修（废弃丢弃、漏油、更换新部件）、配电室（故障、操作不当、电线电路老化）等环境因素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查到：《重要环境因素清单》，公司涉及重要环境因素：固体废弃物的排放，潜在火灾等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对于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环境因素、重要环境因素通过运行控制、管理方案、应急准备与响应进行控制。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提供了《危险源辨识、风险评价和控制措施确定控制程序》，对危险源的识别、评价结果、控制手段等做出了规定。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查《危险源辨识及风险评价表》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，识别了办公和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销售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过程中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垃圾不理不及时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可能导致的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疾病传染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、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人离开未断电源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可能导致的火灾、生产过程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违规操作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可能导致的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人身伤害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等危险源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。</w:t>
            </w:r>
          </w:p>
          <w:p>
            <w:pPr>
              <w:snapToGrid w:val="0"/>
              <w:spacing w:line="240" w:lineRule="auto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查到：《不可接受风险清单》，</w:t>
            </w: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公司涉及重大危险源：潜在火灾、触电、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交通事故等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TW"/>
              </w:rPr>
              <w:t>对于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危险源、不可接受风险等通过运行控制、管理方案、应急准备与响应进行控制。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中华人民共和国消费者权益保护法、中华人民共和国计量法、中华人民共和国价格法、</w:t>
            </w: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中华人民共和国环境保护法、中华人民共和国消防法、</w:t>
            </w:r>
            <w:r>
              <w:rPr>
                <w:rFonts w:hint="eastAsia"/>
                <w:b/>
                <w:sz w:val="20"/>
              </w:rPr>
              <w:t>食品安全国家标准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SB/T 10893-2012预包装鲜食莲藕流通规范、SB/T 10891-2012预包装鲜梨流通规范、SB/T 10890-2012预包装水果流通规范、SB/T 10892-2012预包装鲜苹果流通规范、SB/T 10894-2012预包装鲜食葡萄流通规范、SB/T 10889-2012预包装蔬菜流通规范</w:t>
            </w:r>
            <w:r>
              <w:rPr>
                <w:rFonts w:hint="eastAsia"/>
                <w:b/>
                <w:sz w:val="20"/>
                <w:lang w:val="en-US" w:eastAsia="zh-CN"/>
              </w:rPr>
              <w:t>、GB/T 34767-2017水产品销售与配送良好操作规范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-200660</wp:posOffset>
                  </wp:positionV>
                  <wp:extent cx="311785" cy="792480"/>
                  <wp:effectExtent l="0" t="0" r="7620" b="5715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2021年11月15日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-112395</wp:posOffset>
                  </wp:positionV>
                  <wp:extent cx="311785" cy="792480"/>
                  <wp:effectExtent l="0" t="0" r="7620" b="571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1178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2021年11月15日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中國龍中黑體">
    <w:altName w:val="黑体"/>
    <w:panose1 w:val="00000000000000000000"/>
    <w:charset w:val="88"/>
    <w:family w:val="modern"/>
    <w:pitch w:val="default"/>
    <w:sig w:usb0="00000000" w:usb1="00000000" w:usb2="0000003F" w:usb3="00000000" w:csb0="001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0131DC"/>
    <w:rsid w:val="0A4834A5"/>
    <w:rsid w:val="0FEF4004"/>
    <w:rsid w:val="2195620F"/>
    <w:rsid w:val="21DA1699"/>
    <w:rsid w:val="224D0358"/>
    <w:rsid w:val="2C386755"/>
    <w:rsid w:val="2DE57F45"/>
    <w:rsid w:val="3AFD2BA5"/>
    <w:rsid w:val="3CE67FBE"/>
    <w:rsid w:val="3CF81310"/>
    <w:rsid w:val="4D023F2D"/>
    <w:rsid w:val="4F414E7D"/>
    <w:rsid w:val="53916743"/>
    <w:rsid w:val="546D2B6B"/>
    <w:rsid w:val="59870CFB"/>
    <w:rsid w:val="59DB1D6E"/>
    <w:rsid w:val="5BAC156A"/>
    <w:rsid w:val="636F2ED1"/>
    <w:rsid w:val="658556D2"/>
    <w:rsid w:val="69AF0748"/>
    <w:rsid w:val="6AD91941"/>
    <w:rsid w:val="6D192053"/>
    <w:rsid w:val="6DD644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rPr>
      <w:rFonts w:eastAsia="中國龍中黑體"/>
      <w:sz w:val="24"/>
      <w:szCs w:val="20"/>
      <w:lang w:eastAsia="zh-TW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hb</cp:lastModifiedBy>
  <dcterms:modified xsi:type="dcterms:W3CDTF">2021-11-16T07:25:35Z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