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赣州市兴钧餐饮有限公司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刘秋秋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Q:</w:t>
            </w:r>
            <w:r>
              <w:rPr>
                <w:b/>
                <w:sz w:val="20"/>
              </w:rPr>
              <w:t>30.05.00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采购—进料检验—原材料清洗—切配—烹饪—留样—分配—餐具消毒—垃圾处理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关键过程</w:t>
            </w:r>
            <w:r>
              <w:rPr>
                <w:rFonts w:hint="eastAsia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/需要确认的过程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：烹饪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bookmarkStart w:id="10" w:name="_GoBack"/>
            <w:bookmarkEnd w:id="10"/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按照菜谱的要求，配料后进行操作，中餐主要是根据厨师的个人能力和经验进行。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食品经营许可管理办法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食品生产许可管理办法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食品企业通用卫生规范GB14881-2013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食品中污染物限量GB2762-2017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食品中农药最大残留限量GB2763-2016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0"/>
                <w:szCs w:val="22"/>
                <w:lang w:val="en-US" w:eastAsia="zh-CN" w:bidi="ar-SA"/>
              </w:rPr>
              <w:t>食品接触用塑料材料及制品GB 4806.7-2016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食品安全抽样检验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刘秋秋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褚敏杰</w:t>
            </w:r>
            <w:bookmarkEnd w:id="9"/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F906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2021-11-12T02:38:04Z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2052-11.1.0.10314</vt:lpwstr>
  </property>
</Properties>
</file>