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715"/>
        <w:gridCol w:w="2075"/>
        <w:gridCol w:w="195"/>
        <w:gridCol w:w="730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rFonts w:hint="eastAsia" w:ascii="宋体" w:hAnsi="宋体"/>
                <w:b/>
                <w:bCs/>
                <w:kern w:val="0"/>
                <w:szCs w:val="21"/>
                <w:u w:val="none"/>
              </w:rPr>
              <w:t>常德市武陵区乔氏蔬菜销售有限公司</w:t>
            </w:r>
            <w:bookmarkEnd w:id="7"/>
          </w:p>
        </w:tc>
        <w:tc>
          <w:tcPr>
            <w:tcW w:w="9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O:29.07.01,29.07.02,29.07.08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Q:29.07.01,29.07.02,29.07.08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rFonts w:ascii="Times New Roman" w:hAnsi="Times New Roman" w:eastAsia="宋体" w:cs="Times New Roman"/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E:29.07.01,29.07.02,29.07.08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</w:rPr>
              <w:t>O:29.07.01,29.07.02,29.07.08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77265" cy="291465"/>
                  <wp:effectExtent l="0" t="0" r="635" b="635"/>
                  <wp:docPr id="3" name="图片 1" descr="81777d9a0972aa9376b84cbeac714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1777d9a0972aa9376b84cbeac714a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 xml:space="preserve">销售：客户接触----合同评审----签订合同-----客户付款------入帐------采购-----客户提货-----验收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销售过程的风险主要是：1、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产品质量不达标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交付前业务人员进行检测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产品性能未能满足客户需求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及时与客户沟通，了解客户需求。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法律法规内容变化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定期检查公司所执行的法律法规、规范、标准的更新信息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：销售服务过程</w:t>
            </w:r>
            <w:r>
              <w:rPr>
                <w:rFonts w:hint="eastAsia"/>
                <w:b/>
                <w:sz w:val="20"/>
              </w:rPr>
              <w:t>。对人员从业资格及能力、设备设施使用保养、</w:t>
            </w:r>
            <w:r>
              <w:rPr>
                <w:rFonts w:hint="eastAsia"/>
                <w:b/>
                <w:sz w:val="20"/>
                <w:lang w:val="en-US" w:eastAsia="zh-CN"/>
              </w:rPr>
              <w:t>工作环境的要求、</w:t>
            </w:r>
            <w:r>
              <w:rPr>
                <w:rFonts w:hint="eastAsia"/>
                <w:b/>
                <w:sz w:val="20"/>
              </w:rPr>
              <w:t>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提供了《环境因素的识别、评价控制程序》，对环境因素评价结果、控制手段等做出了规定。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环境因素识别评价表》，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销售过程（固废、噪声排放、火灾、电能消耗、粉尘排放）、设备维修（废弃丢弃、漏油、更换新部件）、配电室（故障、操作不当、电线电路老化）等环境因素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查到：《重要环境因素清单》，公司涉及重要环境因素：固体废弃物的排放，潜在火灾等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提供了《危险源辨识、风险评价和控制措施确定控制程序》，对危险源的识别、评价结果、控制手段等做出了规定。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查《危险源辨识及风险评价表》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，识别了办公和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销售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过程中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垃圾不理不及时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疾病传染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人离开未断电源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可能导致的火灾、生产过程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违规操作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人身伤害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等危险源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snapToGrid w:val="0"/>
              <w:spacing w:line="240" w:lineRule="auto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查到：《不可接受风险清单》，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公司涉及重大危险源：潜在火灾、触电、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交通事故等</w:t>
            </w:r>
            <w:bookmarkStart w:id="8" w:name="_GoBack"/>
            <w:bookmarkEnd w:id="8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危险源、不可接受风险等通过运行控制、管理方案、应急准备与响应进行控制。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中华人民共和国消费者权益保护法、中华人民共和国计量法、中华人民共和国价格法、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SB/T 10893-2012预包装鲜食莲藕流通规范、SB/T 10891-2012预包装鲜梨流通规范、SB/T 10890-2012预包装水果流通规范、SB/T 10892-2012预包装鲜苹果流通规范、SB/T 10894-2012预包装鲜食葡萄流通规范、SB/T 10889-2012预包装蔬菜流通规范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-200660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-112395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4834A5"/>
    <w:rsid w:val="0FEF4004"/>
    <w:rsid w:val="21DA1699"/>
    <w:rsid w:val="224D0358"/>
    <w:rsid w:val="2C386755"/>
    <w:rsid w:val="3CE67FBE"/>
    <w:rsid w:val="4D023F2D"/>
    <w:rsid w:val="4F414E7D"/>
    <w:rsid w:val="53916743"/>
    <w:rsid w:val="546D2B6B"/>
    <w:rsid w:val="59870CFB"/>
    <w:rsid w:val="59DB1D6E"/>
    <w:rsid w:val="5BAC156A"/>
    <w:rsid w:val="636F2ED1"/>
    <w:rsid w:val="658556D2"/>
    <w:rsid w:val="69AF0748"/>
    <w:rsid w:val="6AD91941"/>
    <w:rsid w:val="6D192053"/>
    <w:rsid w:val="6DD64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2021-11-12T02:14:02Z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