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90" w:rsidRDefault="00784640">
      <w:pPr>
        <w:autoSpaceDE w:val="0"/>
        <w:autoSpaceDN w:val="0"/>
        <w:adjustRightInd w:val="0"/>
        <w:snapToGrid w:val="0"/>
        <w:spacing w:line="400" w:lineRule="exact"/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/>
        </w:rPr>
        <w:t>江苏盛日机械设备制造有限公司</w:t>
      </w:r>
    </w:p>
    <w:p w:rsidR="00C17990" w:rsidRDefault="0078464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钢板硬度测量不确定度评定</w:t>
      </w:r>
    </w:p>
    <w:p w:rsidR="00C17990" w:rsidRDefault="00C17990">
      <w:pPr>
        <w:jc w:val="center"/>
        <w:rPr>
          <w:b/>
          <w:sz w:val="18"/>
          <w:szCs w:val="18"/>
        </w:rPr>
      </w:pP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测量过程：钢板硬度检测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测量方法：依据GB5842-2006  </w:t>
      </w:r>
    </w:p>
    <w:p w:rsidR="00C17990" w:rsidRDefault="00784640">
      <w:pPr>
        <w:spacing w:line="360" w:lineRule="auto"/>
        <w:rPr>
          <w:rFonts w:ascii="宋体" w:hAnsi="宋体" w:cs="宋体"/>
          <w:color w:val="FF0000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测量设备：</w:t>
      </w:r>
      <w:r w:rsidR="008A12B5">
        <w:rPr>
          <w:rFonts w:ascii="宋体" w:hAnsi="宋体" w:cs="宋体" w:hint="eastAsia"/>
          <w:sz w:val="30"/>
          <w:szCs w:val="30"/>
        </w:rPr>
        <w:t>HR-</w:t>
      </w:r>
      <w:r w:rsidR="008A12B5">
        <w:rPr>
          <w:rFonts w:ascii="宋体" w:hAnsi="宋体" w:cs="宋体"/>
          <w:sz w:val="30"/>
          <w:szCs w:val="30"/>
        </w:rPr>
        <w:t>150</w:t>
      </w:r>
      <w:r w:rsidR="008A12B5">
        <w:rPr>
          <w:rFonts w:ascii="宋体" w:hAnsi="宋体" w:cs="宋体" w:hint="eastAsia"/>
          <w:sz w:val="30"/>
          <w:szCs w:val="30"/>
        </w:rPr>
        <w:t>A</w:t>
      </w:r>
      <w:r>
        <w:rPr>
          <w:rFonts w:ascii="宋体" w:hAnsi="宋体" w:cs="宋体" w:hint="eastAsia"/>
          <w:sz w:val="30"/>
          <w:szCs w:val="30"/>
        </w:rPr>
        <w:t>洛氏硬度计，最大允许误差：±1.5HRC</w:t>
      </w:r>
    </w:p>
    <w:p w:rsidR="00C17990" w:rsidRDefault="0078464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建立数学模型</w:t>
      </w:r>
    </w:p>
    <w:p w:rsidR="00C17990" w:rsidRDefault="00784640">
      <w:pPr>
        <w:autoSpaceDE w:val="0"/>
        <w:autoSpaceDN w:val="0"/>
        <w:adjustRightInd w:val="0"/>
        <w:ind w:firstLineChars="700" w:firstLine="21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f=m</w:t>
      </w:r>
    </w:p>
    <w:p w:rsidR="00C17990" w:rsidRDefault="00784640">
      <w:pPr>
        <w:autoSpaceDE w:val="0"/>
        <w:autoSpaceDN w:val="0"/>
        <w:adjustRightInd w:val="0"/>
        <w:spacing w:line="600" w:lineRule="exact"/>
        <w:ind w:firstLineChars="450" w:firstLine="135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式中：f为被测物体的硬度；m为硬度计显示的硬度值。</w:t>
      </w:r>
    </w:p>
    <w:p w:rsidR="00C17990" w:rsidRDefault="00784640">
      <w:pPr>
        <w:numPr>
          <w:ilvl w:val="0"/>
          <w:numId w:val="1"/>
        </w:num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输入量不确定度评定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  <w:vertAlign w:val="subscript"/>
        </w:rPr>
      </w:pPr>
      <w:r>
        <w:rPr>
          <w:rFonts w:ascii="宋体" w:hAnsi="宋体" w:cs="宋体" w:hint="eastAsia"/>
          <w:sz w:val="30"/>
          <w:szCs w:val="30"/>
        </w:rPr>
        <w:t>1.测量重复性引入不确定度u</w:t>
      </w:r>
      <w:r>
        <w:rPr>
          <w:rFonts w:ascii="宋体" w:hAnsi="宋体" w:cs="宋体" w:hint="eastAsia"/>
          <w:sz w:val="30"/>
          <w:szCs w:val="30"/>
          <w:vertAlign w:val="subscript"/>
        </w:rPr>
        <w:t>1</w:t>
      </w:r>
    </w:p>
    <w:p w:rsidR="008A12B5" w:rsidRDefault="00784640">
      <w:pPr>
        <w:spacing w:line="360" w:lineRule="auto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用一块标准值为50HRC</w:t>
      </w:r>
      <w:r w:rsidR="009B72E1">
        <w:rPr>
          <w:rFonts w:ascii="宋体" w:hAnsi="宋体" w:cs="宋体" w:hint="eastAsia"/>
          <w:sz w:val="30"/>
          <w:szCs w:val="30"/>
        </w:rPr>
        <w:t>硬度</w:t>
      </w:r>
      <w:r>
        <w:rPr>
          <w:rFonts w:ascii="宋体" w:hAnsi="宋体" w:cs="宋体" w:hint="eastAsia"/>
          <w:sz w:val="30"/>
          <w:szCs w:val="30"/>
        </w:rPr>
        <w:t>块在硬度计上连续测量6次，得到一组测量列为</w:t>
      </w:r>
      <w:r w:rsidR="009B72E1">
        <w:rPr>
          <w:rFonts w:ascii="宋体" w:hAnsi="宋体" w:cs="宋体" w:hint="eastAsia"/>
          <w:sz w:val="30"/>
          <w:szCs w:val="30"/>
        </w:rPr>
        <w:t>(HRC)</w:t>
      </w:r>
      <w:r>
        <w:rPr>
          <w:rFonts w:ascii="宋体" w:hAnsi="宋体" w:cs="宋体" w:hint="eastAsia"/>
          <w:sz w:val="30"/>
          <w:szCs w:val="30"/>
        </w:rPr>
        <w:t>：50.1；50</w:t>
      </w:r>
      <w:r w:rsidR="009B72E1">
        <w:rPr>
          <w:rFonts w:ascii="宋体" w:hAnsi="宋体" w:cs="宋体" w:hint="eastAsia"/>
          <w:sz w:val="30"/>
          <w:szCs w:val="30"/>
        </w:rPr>
        <w:t>.0</w:t>
      </w:r>
      <w:r>
        <w:rPr>
          <w:rFonts w:ascii="宋体" w:hAnsi="宋体" w:cs="宋体" w:hint="eastAsia"/>
          <w:sz w:val="30"/>
          <w:szCs w:val="30"/>
        </w:rPr>
        <w:t>；50.1；50.2；50.1；50</w:t>
      </w:r>
      <w:r w:rsidR="009B72E1">
        <w:rPr>
          <w:rFonts w:ascii="宋体" w:hAnsi="宋体" w:cs="宋体" w:hint="eastAsia"/>
          <w:sz w:val="30"/>
          <w:szCs w:val="30"/>
        </w:rPr>
        <w:t>.0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8A12B5" w:rsidRDefault="008A12B5">
      <w:pPr>
        <w:spacing w:line="360" w:lineRule="auto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平均值</w:t>
      </w:r>
      <m:oMath>
        <m:acc>
          <m:accPr>
            <m:chr m:val="̅"/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="宋体" w:hint="eastAsia"/>
                <w:sz w:val="30"/>
                <w:szCs w:val="30"/>
              </w:rPr>
              <m:t>X</m:t>
            </m:r>
          </m:e>
        </m:acc>
      </m:oMath>
      <w:r>
        <w:rPr>
          <w:rFonts w:ascii="宋体" w:hAnsi="宋体" w:cs="宋体" w:hint="eastAsia"/>
          <w:sz w:val="30"/>
          <w:szCs w:val="30"/>
        </w:rPr>
        <w:t>=</w:t>
      </w:r>
      <w:r>
        <w:rPr>
          <w:rFonts w:ascii="宋体" w:hAnsi="宋体" w:cs="宋体"/>
          <w:sz w:val="30"/>
          <w:szCs w:val="30"/>
        </w:rPr>
        <w:t>50</w:t>
      </w:r>
      <w:r>
        <w:rPr>
          <w:rFonts w:ascii="宋体" w:hAnsi="宋体" w:cs="宋体" w:hint="eastAsia"/>
          <w:sz w:val="30"/>
          <w:szCs w:val="30"/>
        </w:rPr>
        <w:t>.</w:t>
      </w:r>
      <w:r>
        <w:rPr>
          <w:rFonts w:ascii="宋体" w:hAnsi="宋体" w:cs="宋体"/>
          <w:sz w:val="30"/>
          <w:szCs w:val="30"/>
        </w:rPr>
        <w:t>08</w:t>
      </w:r>
      <w:r>
        <w:rPr>
          <w:rFonts w:ascii="宋体" w:hAnsi="宋体" w:cs="宋体" w:hint="eastAsia"/>
          <w:sz w:val="30"/>
          <w:szCs w:val="30"/>
        </w:rPr>
        <w:t>HRC≈5</w:t>
      </w:r>
      <w:r>
        <w:rPr>
          <w:rFonts w:ascii="宋体" w:hAnsi="宋体" w:cs="宋体"/>
          <w:sz w:val="30"/>
          <w:szCs w:val="30"/>
        </w:rPr>
        <w:t>0</w:t>
      </w:r>
      <w:r>
        <w:rPr>
          <w:rFonts w:ascii="宋体" w:hAnsi="宋体" w:cs="宋体" w:hint="eastAsia"/>
          <w:sz w:val="30"/>
          <w:szCs w:val="30"/>
        </w:rPr>
        <w:t>.</w:t>
      </w:r>
      <w:r>
        <w:rPr>
          <w:rFonts w:ascii="宋体" w:hAnsi="宋体" w:cs="宋体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HRC</w:t>
      </w:r>
    </w:p>
    <w:p w:rsidR="00C17990" w:rsidRDefault="00784640">
      <w:pPr>
        <w:spacing w:line="360" w:lineRule="auto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单次标准差为：</w:t>
      </w:r>
    </w:p>
    <w:p w:rsidR="00C17990" w:rsidRDefault="00784640">
      <w:pPr>
        <w:spacing w:line="360" w:lineRule="auto"/>
        <w:ind w:firstLineChars="550" w:firstLine="16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s=</w:t>
      </w:r>
      <w:r w:rsidRPr="001F469E">
        <w:rPr>
          <w:rFonts w:ascii="宋体" w:hAnsi="宋体" w:cs="宋体" w:hint="eastAsia"/>
          <w:position w:val="-32"/>
          <w:sz w:val="30"/>
          <w:szCs w:val="30"/>
        </w:rPr>
        <w:object w:dxaOrig="1414" w:dyaOrig="1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.5pt" o:ole="">
            <v:imagedata r:id="rId9" o:title=""/>
          </v:shape>
          <o:OLEObject Type="Embed" ProgID="Equation.3" ShapeID="_x0000_i1025" DrawAspect="Content" ObjectID="_1698433847" r:id="rId10"/>
        </w:object>
      </w:r>
      <w:r>
        <w:rPr>
          <w:rFonts w:ascii="宋体" w:hAnsi="宋体" w:cs="宋体" w:hint="eastAsia"/>
          <w:sz w:val="30"/>
          <w:szCs w:val="30"/>
        </w:rPr>
        <w:t>=0.075HRC</w:t>
      </w:r>
    </w:p>
    <w:p w:rsidR="00C17990" w:rsidRDefault="00784640" w:rsidP="009B72E1">
      <w:pPr>
        <w:spacing w:line="360" w:lineRule="auto"/>
        <w:ind w:firstLineChars="150" w:firstLine="4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在实际测量中，在重复性条件下连续测量</w:t>
      </w:r>
      <w:r w:rsidR="009B72E1">
        <w:rPr>
          <w:rFonts w:ascii="宋体" w:hAnsi="宋体" w:cs="宋体" w:hint="eastAsia"/>
          <w:sz w:val="30"/>
          <w:szCs w:val="30"/>
        </w:rPr>
        <w:t>6</w:t>
      </w:r>
      <w:r>
        <w:rPr>
          <w:rFonts w:ascii="宋体" w:hAnsi="宋体" w:cs="宋体" w:hint="eastAsia"/>
          <w:sz w:val="30"/>
          <w:szCs w:val="30"/>
        </w:rPr>
        <w:t>次，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u</w:t>
      </w:r>
      <w:r>
        <w:rPr>
          <w:rFonts w:ascii="宋体" w:hAnsi="宋体" w:cs="宋体" w:hint="eastAsia"/>
          <w:sz w:val="30"/>
          <w:szCs w:val="30"/>
          <w:vertAlign w:val="subscript"/>
        </w:rPr>
        <w:t>1</w:t>
      </w:r>
      <w:r>
        <w:rPr>
          <w:rFonts w:ascii="宋体" w:hAnsi="宋体" w:cs="宋体" w:hint="eastAsia"/>
          <w:sz w:val="30"/>
          <w:szCs w:val="30"/>
        </w:rPr>
        <w:t>=</w:t>
      </w:r>
      <w:r w:rsidRPr="001F469E">
        <w:rPr>
          <w:rFonts w:ascii="宋体" w:hAnsi="宋体" w:cs="宋体" w:hint="eastAsia"/>
          <w:position w:val="-28"/>
          <w:sz w:val="30"/>
          <w:szCs w:val="30"/>
        </w:rPr>
        <w:object w:dxaOrig="420" w:dyaOrig="669">
          <v:shape id="_x0000_i1026" type="#_x0000_t75" style="width:21pt;height:33.5pt" o:ole="">
            <v:imagedata r:id="rId11" o:title=""/>
          </v:shape>
          <o:OLEObject Type="Embed" ProgID="Equation.3" ShapeID="_x0000_i1026" DrawAspect="Content" ObjectID="_1698433848" r:id="rId12"/>
        </w:object>
      </w:r>
      <w:r>
        <w:rPr>
          <w:rFonts w:ascii="宋体" w:hAnsi="宋体" w:cs="宋体" w:hint="eastAsia"/>
          <w:sz w:val="30"/>
          <w:szCs w:val="30"/>
        </w:rPr>
        <w:t>=0.03HRC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  <w:vertAlign w:val="subscript"/>
        </w:rPr>
      </w:pPr>
      <w:r>
        <w:rPr>
          <w:rFonts w:ascii="宋体" w:hAnsi="宋体" w:cs="宋体" w:hint="eastAsia"/>
          <w:sz w:val="30"/>
          <w:szCs w:val="30"/>
        </w:rPr>
        <w:t>2.硬度计</w:t>
      </w:r>
      <w:r w:rsidR="009B72E1">
        <w:rPr>
          <w:rFonts w:ascii="宋体" w:hAnsi="宋体" w:cs="宋体" w:hint="eastAsia"/>
          <w:sz w:val="30"/>
          <w:szCs w:val="30"/>
        </w:rPr>
        <w:t>最大允许</w:t>
      </w:r>
      <w:r>
        <w:rPr>
          <w:rFonts w:ascii="宋体" w:hAnsi="宋体" w:cs="宋体" w:hint="eastAsia"/>
          <w:sz w:val="30"/>
          <w:szCs w:val="30"/>
        </w:rPr>
        <w:t>误差引入不确定度u</w:t>
      </w:r>
      <w:r>
        <w:rPr>
          <w:rFonts w:ascii="宋体" w:hAnsi="宋体" w:cs="宋体" w:hint="eastAsia"/>
          <w:sz w:val="30"/>
          <w:szCs w:val="30"/>
          <w:vertAlign w:val="subscript"/>
        </w:rPr>
        <w:t>2</w:t>
      </w:r>
    </w:p>
    <w:p w:rsidR="00C17990" w:rsidRDefault="00784640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洛氏硬度计的最大示值误差为±1.5HRC，按均匀分布，包含因子</w:t>
      </w:r>
      <w:r w:rsidRPr="001F469E">
        <w:rPr>
          <w:rFonts w:ascii="宋体" w:hAnsi="宋体" w:cs="宋体" w:hint="eastAsia"/>
          <w:position w:val="-8"/>
          <w:sz w:val="30"/>
          <w:szCs w:val="30"/>
        </w:rPr>
        <w:object w:dxaOrig="737" w:dyaOrig="369">
          <v:shape id="_x0000_i1027" type="#_x0000_t75" style="width:37pt;height:18.5pt" o:ole="" fillcolor="#aca899">
            <v:imagedata r:id="rId13" o:title=""/>
          </v:shape>
          <o:OLEObject Type="Embed" ProgID="Equation.3" ShapeID="_x0000_i1027" DrawAspect="Content" ObjectID="_1698433849" r:id="rId14"/>
        </w:object>
      </w:r>
      <w:r>
        <w:rPr>
          <w:rFonts w:ascii="宋体" w:hAnsi="宋体" w:cs="宋体" w:hint="eastAsia"/>
          <w:sz w:val="30"/>
          <w:szCs w:val="30"/>
        </w:rPr>
        <w:t>，所以</w:t>
      </w:r>
    </w:p>
    <w:p w:rsidR="00C17990" w:rsidRDefault="00784640">
      <w:pPr>
        <w:spacing w:line="360" w:lineRule="auto"/>
        <w:ind w:firstLineChars="550" w:firstLine="165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u</w:t>
      </w:r>
      <w:r>
        <w:rPr>
          <w:rFonts w:ascii="宋体" w:hAnsi="宋体" w:cs="宋体" w:hint="eastAsia"/>
          <w:sz w:val="30"/>
          <w:szCs w:val="30"/>
          <w:vertAlign w:val="subscript"/>
        </w:rPr>
        <w:t>2</w:t>
      </w:r>
      <w:r>
        <w:rPr>
          <w:rFonts w:ascii="宋体" w:hAnsi="宋体" w:cs="宋体" w:hint="eastAsia"/>
          <w:sz w:val="30"/>
          <w:szCs w:val="30"/>
        </w:rPr>
        <w:t>=1.5/</w:t>
      </w:r>
      <w:r w:rsidRPr="001F469E">
        <w:rPr>
          <w:rFonts w:ascii="宋体" w:hAnsi="宋体" w:cs="宋体" w:hint="eastAsia"/>
          <w:position w:val="-8"/>
          <w:sz w:val="30"/>
          <w:szCs w:val="30"/>
        </w:rPr>
        <w:object w:dxaOrig="369" w:dyaOrig="369">
          <v:shape id="_x0000_i1028" type="#_x0000_t75" style="width:18.5pt;height:18.5pt" o:ole="" fillcolor="#aca899">
            <v:imagedata r:id="rId15" o:title=""/>
          </v:shape>
          <o:OLEObject Type="Embed" ProgID="Equation.3" ShapeID="_x0000_i1028" DrawAspect="Content" ObjectID="_1698433850" r:id="rId16"/>
        </w:object>
      </w:r>
      <w:r>
        <w:rPr>
          <w:rFonts w:ascii="宋体" w:hAnsi="宋体" w:cs="宋体" w:hint="eastAsia"/>
          <w:sz w:val="30"/>
          <w:szCs w:val="30"/>
        </w:rPr>
        <w:t>=0.87HRC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lastRenderedPageBreak/>
        <w:t>3.标准硬度块的示值误差很小,</w:t>
      </w:r>
      <w:r w:rsidR="00EE1949">
        <w:rPr>
          <w:rFonts w:ascii="宋体" w:hAnsi="宋体" w:cs="宋体" w:hint="eastAsia"/>
          <w:sz w:val="30"/>
          <w:szCs w:val="30"/>
        </w:rPr>
        <w:t>影响较小，本次评定不予以考虑</w:t>
      </w:r>
      <w:r>
        <w:rPr>
          <w:rFonts w:ascii="宋体" w:hAnsi="宋体" w:cs="宋体" w:hint="eastAsia"/>
          <w:sz w:val="30"/>
          <w:szCs w:val="30"/>
        </w:rPr>
        <w:t>.</w:t>
      </w:r>
    </w:p>
    <w:p w:rsidR="00C17990" w:rsidRDefault="00784640">
      <w:pPr>
        <w:tabs>
          <w:tab w:val="center" w:pos="4612"/>
        </w:tabs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二．合成标准不确定度的计算:</w:t>
      </w:r>
    </w:p>
    <w:p w:rsidR="00C17990" w:rsidRDefault="00784640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F469E">
        <w:rPr>
          <w:rFonts w:ascii="宋体" w:hAnsi="宋体" w:cs="宋体" w:hint="eastAsia"/>
          <w:position w:val="-14"/>
          <w:sz w:val="30"/>
          <w:szCs w:val="30"/>
        </w:rPr>
        <w:object w:dxaOrig="1603" w:dyaOrig="471">
          <v:shape id="_x0000_i1029" type="#_x0000_t75" style="width:80pt;height:23.5pt" o:ole="" fillcolor="#aca899">
            <v:imagedata r:id="rId17" o:title=""/>
          </v:shape>
          <o:OLEObject Type="Embed" ProgID="Equation.DSMT4" ShapeID="_x0000_i1029" DrawAspect="Content" ObjectID="_1698433851" r:id="rId18"/>
        </w:object>
      </w:r>
      <w:r>
        <w:rPr>
          <w:rFonts w:ascii="宋体" w:hAnsi="宋体" w:cs="宋体" w:hint="eastAsia"/>
          <w:sz w:val="30"/>
          <w:szCs w:val="30"/>
        </w:rPr>
        <w:t>0.87HRC</w:t>
      </w:r>
    </w:p>
    <w:p w:rsidR="00C17990" w:rsidRDefault="00784640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三．扩展不确定度的评定</w:t>
      </w:r>
    </w:p>
    <w:p w:rsidR="00C17990" w:rsidRDefault="00784640" w:rsidP="009B72E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取包含因子</w:t>
      </w:r>
      <w:r w:rsidRPr="008A12B5">
        <w:rPr>
          <w:rFonts w:ascii="宋体" w:hAnsi="宋体" w:cs="宋体" w:hint="eastAsia"/>
          <w:i/>
          <w:iCs/>
          <w:sz w:val="30"/>
          <w:szCs w:val="30"/>
        </w:rPr>
        <w:t>k</w:t>
      </w:r>
      <w:r>
        <w:rPr>
          <w:rFonts w:ascii="宋体" w:hAnsi="宋体" w:cs="宋体" w:hint="eastAsia"/>
          <w:sz w:val="30"/>
          <w:szCs w:val="30"/>
        </w:rPr>
        <w:t>=2，</w:t>
      </w:r>
    </w:p>
    <w:p w:rsidR="00C17990" w:rsidRDefault="002E6E8F" w:rsidP="009B72E1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844550</wp:posOffset>
            </wp:positionV>
            <wp:extent cx="901700" cy="317500"/>
            <wp:effectExtent l="19050" t="0" r="0" b="0"/>
            <wp:wrapNone/>
            <wp:docPr id="1" name="图片 0" descr="周新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新风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640">
        <w:rPr>
          <w:rFonts w:ascii="宋体" w:hAnsi="宋体" w:cs="宋体" w:hint="eastAsia"/>
          <w:sz w:val="30"/>
          <w:szCs w:val="30"/>
        </w:rPr>
        <w:t>扩展不确定度为:</w:t>
      </w:r>
      <w:r w:rsidR="00784640">
        <w:rPr>
          <w:rFonts w:ascii="宋体" w:hAnsi="宋体" w:cs="宋体" w:hint="eastAsia"/>
          <w:i/>
          <w:sz w:val="30"/>
          <w:szCs w:val="30"/>
        </w:rPr>
        <w:t>U</w:t>
      </w:r>
      <w:r w:rsidR="00784640">
        <w:rPr>
          <w:rFonts w:ascii="宋体" w:hAnsi="宋体" w:cs="宋体" w:hint="eastAsia"/>
          <w:sz w:val="30"/>
          <w:szCs w:val="30"/>
        </w:rPr>
        <w:t>=</w:t>
      </w:r>
      <w:r w:rsidR="00784640" w:rsidRPr="008A12B5">
        <w:rPr>
          <w:rFonts w:ascii="宋体" w:hAnsi="宋体" w:cs="宋体" w:hint="eastAsia"/>
          <w:i/>
          <w:iCs/>
          <w:sz w:val="30"/>
          <w:szCs w:val="30"/>
        </w:rPr>
        <w:t>k</w:t>
      </w:r>
      <w:r w:rsidR="00784640">
        <w:rPr>
          <w:rFonts w:ascii="宋体" w:hAnsi="宋体" w:cs="宋体" w:hint="eastAsia"/>
          <w:sz w:val="30"/>
          <w:szCs w:val="30"/>
        </w:rPr>
        <w:t>×</w:t>
      </w:r>
      <w:r w:rsidR="00784640" w:rsidRPr="001F469E">
        <w:rPr>
          <w:rFonts w:ascii="宋体" w:hAnsi="宋体" w:cs="宋体" w:hint="eastAsia"/>
          <w:position w:val="-12"/>
          <w:sz w:val="30"/>
          <w:szCs w:val="30"/>
        </w:rPr>
        <w:object w:dxaOrig="300" w:dyaOrig="369">
          <v:shape id="_x0000_i1030" type="#_x0000_t75" style="width:15pt;height:18.5pt" o:ole="">
            <v:imagedata r:id="rId20" o:title=""/>
          </v:shape>
          <o:OLEObject Type="Embed" ProgID="Equation.DSMT4" ShapeID="_x0000_i1030" DrawAspect="Content" ObjectID="_1698433852" r:id="rId21"/>
        </w:object>
      </w:r>
      <w:r w:rsidR="00784640">
        <w:rPr>
          <w:rFonts w:ascii="宋体" w:hAnsi="宋体" w:cs="宋体" w:hint="eastAsia"/>
          <w:sz w:val="30"/>
          <w:szCs w:val="30"/>
        </w:rPr>
        <w:t>=2×0.87 =1.</w:t>
      </w:r>
      <w:r w:rsidR="008A12B5">
        <w:rPr>
          <w:rFonts w:ascii="宋体" w:hAnsi="宋体" w:cs="宋体"/>
          <w:sz w:val="30"/>
          <w:szCs w:val="30"/>
        </w:rPr>
        <w:t>8</w:t>
      </w:r>
      <w:r w:rsidR="00784640">
        <w:rPr>
          <w:rFonts w:ascii="宋体" w:hAnsi="宋体" w:cs="宋体" w:hint="eastAsia"/>
          <w:sz w:val="30"/>
          <w:szCs w:val="30"/>
        </w:rPr>
        <w:t>HRC</w:t>
      </w:r>
    </w:p>
    <w:sectPr w:rsidR="00C17990" w:rsidSect="001F469E">
      <w:pgSz w:w="11906" w:h="16838"/>
      <w:pgMar w:top="1440" w:right="145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6CC" w:rsidRDefault="000646CC" w:rsidP="008A12B5">
      <w:r>
        <w:separator/>
      </w:r>
    </w:p>
  </w:endnote>
  <w:endnote w:type="continuationSeparator" w:id="1">
    <w:p w:rsidR="000646CC" w:rsidRDefault="000646CC" w:rsidP="008A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6CC" w:rsidRDefault="000646CC" w:rsidP="008A12B5">
      <w:r>
        <w:separator/>
      </w:r>
    </w:p>
  </w:footnote>
  <w:footnote w:type="continuationSeparator" w:id="1">
    <w:p w:rsidR="000646CC" w:rsidRDefault="000646CC" w:rsidP="008A1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22"/>
    <w:rsid w:val="00027E37"/>
    <w:rsid w:val="00047E9B"/>
    <w:rsid w:val="000646CC"/>
    <w:rsid w:val="00081656"/>
    <w:rsid w:val="000936BD"/>
    <w:rsid w:val="000A70EE"/>
    <w:rsid w:val="000B32D6"/>
    <w:rsid w:val="001342C9"/>
    <w:rsid w:val="00162EFE"/>
    <w:rsid w:val="00163A22"/>
    <w:rsid w:val="001958D9"/>
    <w:rsid w:val="001F469E"/>
    <w:rsid w:val="00201F21"/>
    <w:rsid w:val="00205B2B"/>
    <w:rsid w:val="002A5F50"/>
    <w:rsid w:val="002C3620"/>
    <w:rsid w:val="002E40B3"/>
    <w:rsid w:val="002E6E8F"/>
    <w:rsid w:val="00334B6F"/>
    <w:rsid w:val="00380E22"/>
    <w:rsid w:val="003C161C"/>
    <w:rsid w:val="00436483"/>
    <w:rsid w:val="00436711"/>
    <w:rsid w:val="00462797"/>
    <w:rsid w:val="0051324E"/>
    <w:rsid w:val="00533EF6"/>
    <w:rsid w:val="005B49B6"/>
    <w:rsid w:val="00644054"/>
    <w:rsid w:val="006546F1"/>
    <w:rsid w:val="006A0D7B"/>
    <w:rsid w:val="006A412C"/>
    <w:rsid w:val="00706557"/>
    <w:rsid w:val="0074122F"/>
    <w:rsid w:val="007472D4"/>
    <w:rsid w:val="00784640"/>
    <w:rsid w:val="007B32F3"/>
    <w:rsid w:val="007C396C"/>
    <w:rsid w:val="007D6D62"/>
    <w:rsid w:val="007E5416"/>
    <w:rsid w:val="008A12B5"/>
    <w:rsid w:val="00901370"/>
    <w:rsid w:val="0092441E"/>
    <w:rsid w:val="00937C69"/>
    <w:rsid w:val="009647D5"/>
    <w:rsid w:val="009A6C71"/>
    <w:rsid w:val="009B72E1"/>
    <w:rsid w:val="009D3924"/>
    <w:rsid w:val="009E0A34"/>
    <w:rsid w:val="009E79C5"/>
    <w:rsid w:val="009E7D1F"/>
    <w:rsid w:val="00A0601A"/>
    <w:rsid w:val="00A638A4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055C5"/>
    <w:rsid w:val="00C17990"/>
    <w:rsid w:val="00C2690C"/>
    <w:rsid w:val="00CB2786"/>
    <w:rsid w:val="00CB3D9A"/>
    <w:rsid w:val="00D1702F"/>
    <w:rsid w:val="00D26BB8"/>
    <w:rsid w:val="00D46588"/>
    <w:rsid w:val="00D772A5"/>
    <w:rsid w:val="00DD3149"/>
    <w:rsid w:val="00DE72C6"/>
    <w:rsid w:val="00E064E9"/>
    <w:rsid w:val="00E122C5"/>
    <w:rsid w:val="00E13592"/>
    <w:rsid w:val="00E34AF0"/>
    <w:rsid w:val="00E5662E"/>
    <w:rsid w:val="00E8132E"/>
    <w:rsid w:val="00EE1949"/>
    <w:rsid w:val="00EF7E82"/>
    <w:rsid w:val="00F26F16"/>
    <w:rsid w:val="00F66BF3"/>
    <w:rsid w:val="26E4444A"/>
    <w:rsid w:val="3F78242D"/>
    <w:rsid w:val="42CA0DD2"/>
    <w:rsid w:val="465F4DD8"/>
    <w:rsid w:val="685B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4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F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46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F46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72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72E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94192-CE86-4E5F-9FFB-40B54CC4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541</Characters>
  <Application>Microsoft Office Word</Application>
  <DocSecurity>0</DocSecurity>
  <Lines>4</Lines>
  <Paragraphs>1</Paragraphs>
  <ScaleCrop>false</ScaleCrop>
  <Company>MS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18</cp:revision>
  <cp:lastPrinted>2021-11-12T07:31:00Z</cp:lastPrinted>
  <dcterms:created xsi:type="dcterms:W3CDTF">2016-12-16T06:28:00Z</dcterms:created>
  <dcterms:modified xsi:type="dcterms:W3CDTF">2021-11-14T14:24:00Z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E5CF5C39CD8044B08BF56F8F06A935D7</vt:lpwstr>
  </property>
</Properties>
</file>