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陕西中烟工业有限责任公司汉中卷烟厂</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0176-2019-2021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0176-2019-2021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3203"/>
        <w:gridCol w:w="194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20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陕西中烟工业有限责任公司</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kern w:val="0"/>
                <w:szCs w:val="21"/>
              </w:rPr>
              <w:t>汉中卷烟厂</w:t>
            </w:r>
            <w:bookmarkEnd w:id="4"/>
          </w:p>
        </w:tc>
        <w:tc>
          <w:tcPr>
            <w:tcW w:w="194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20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ISC-2019-0545</w:t>
            </w:r>
            <w:bookmarkEnd w:id="6"/>
          </w:p>
        </w:tc>
        <w:tc>
          <w:tcPr>
            <w:tcW w:w="194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2024-11-21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203"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监督审核</w:t>
            </w:r>
          </w:p>
        </w:tc>
        <w:tc>
          <w:tcPr>
            <w:tcW w:w="194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2021年11月18日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802"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姓名及确认号</w:t>
            </w:r>
          </w:p>
        </w:tc>
        <w:tc>
          <w:tcPr>
            <w:tcW w:w="3203" w:type="dxa"/>
          </w:tcPr>
          <w:p>
            <w:pPr>
              <w:tabs>
                <w:tab w:val="left" w:pos="880"/>
              </w:tabs>
              <w:autoSpaceDE w:val="0"/>
              <w:autoSpaceDN w:val="0"/>
              <w:adjustRightInd w:val="0"/>
              <w:spacing w:before="35" w:line="240"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孙保健 2020-M1MMS-1274302</w:t>
            </w:r>
            <w:r>
              <w:rPr>
                <w:rFonts w:hint="eastAsia" w:cs="宋体" w:asciiTheme="minorEastAsia" w:hAnsiTheme="minorEastAsia"/>
                <w:kern w:val="0"/>
                <w:szCs w:val="21"/>
                <w:lang w:val="en-US" w:eastAsia="zh-CN"/>
              </w:rPr>
              <w:t xml:space="preserve">       于养</w:t>
            </w:r>
            <w:r>
              <w:rPr>
                <w:rFonts w:hint="eastAsia" w:cs="宋体" w:asciiTheme="minorEastAsia" w:hAnsiTheme="minorEastAsia"/>
                <w:kern w:val="0"/>
                <w:szCs w:val="21"/>
                <w:lang w:val="en-US" w:eastAsia="zh-CN"/>
              </w:rPr>
              <w:t>奇  2019-M1MMS-1274600</w:t>
            </w:r>
            <w:r>
              <w:rPr>
                <w:rFonts w:hint="eastAsia" w:cs="宋体" w:asciiTheme="minorEastAsia" w:hAnsiTheme="minorEastAsia"/>
                <w:kern w:val="0"/>
                <w:szCs w:val="21"/>
                <w:lang w:val="en-US" w:eastAsia="zh-CN"/>
              </w:rPr>
              <w:t xml:space="preserve"> </w:t>
            </w:r>
          </w:p>
          <w:p>
            <w:pPr>
              <w:tabs>
                <w:tab w:val="left" w:pos="880"/>
              </w:tabs>
              <w:autoSpaceDE w:val="0"/>
              <w:autoSpaceDN w:val="0"/>
              <w:adjustRightInd w:val="0"/>
              <w:spacing w:before="35" w:line="240"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李 俐  2021-M1MMS-2222792</w:t>
            </w:r>
          </w:p>
        </w:tc>
        <w:tc>
          <w:tcPr>
            <w:tcW w:w="194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工艺质量科、生产设备科、</w:t>
            </w:r>
            <w:r>
              <w:rPr>
                <w:rFonts w:cs="宋体" w:asciiTheme="minorEastAsia" w:hAnsiTheme="minorEastAsia"/>
                <w:kern w:val="0"/>
                <w:szCs w:val="21"/>
              </w:rPr>
              <w:t>卷</w:t>
            </w:r>
            <w:r>
              <w:rPr>
                <w:rFonts w:hint="eastAsia" w:cs="宋体" w:asciiTheme="minorEastAsia" w:hAnsiTheme="minorEastAsia"/>
                <w:kern w:val="0"/>
                <w:szCs w:val="21"/>
                <w:lang w:val="en-US" w:eastAsia="zh-CN"/>
              </w:rPr>
              <w:t>包车间、制丝车间、动力车间、</w:t>
            </w:r>
            <w:r>
              <w:rPr>
                <w:rFonts w:hint="eastAsia" w:ascii="宋体" w:hAnsi="宋体" w:eastAsia="宋体" w:cs="宋体"/>
                <w:kern w:val="0"/>
                <w:szCs w:val="21"/>
                <w:lang w:val="en-US" w:eastAsia="zh-CN"/>
              </w:rPr>
              <w:t>物流分中心。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cs="宋体" w:asciiTheme="minorEastAsia" w:hAnsiTheme="minorEastAsia"/>
          <w:kern w:val="0"/>
          <w:szCs w:val="21"/>
        </w:rPr>
        <w:t>卷烟</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企业一年来测量管理体系取得</w:t>
      </w:r>
      <w:r>
        <w:rPr>
          <w:rFonts w:hint="eastAsia" w:cs="宋体" w:asciiTheme="minorEastAsia" w:hAnsiTheme="minorEastAsia"/>
          <w:bCs/>
          <w:color w:val="000000" w:themeColor="text1"/>
          <w:kern w:val="0"/>
          <w:szCs w:val="21"/>
          <w:lang w:val="en-US" w:eastAsia="zh-CN"/>
        </w:rPr>
        <w:t>了一下</w:t>
      </w:r>
      <w:r>
        <w:rPr>
          <w:rFonts w:hint="eastAsia" w:cs="宋体" w:asciiTheme="minorEastAsia" w:hAnsiTheme="minorEastAsia"/>
          <w:bCs/>
          <w:color w:val="000000" w:themeColor="text1"/>
          <w:kern w:val="0"/>
          <w:szCs w:val="21"/>
        </w:rPr>
        <w:t>成绩</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利用Execl表函数公式功能，对测量设备台账进行优化设置，实现测量设备检定或校准到期自动提醒，并用不同颜色凸显。应用于《测量设备月度周检计划表》的编制，将人工逐条查询测量设备到期查询改为自动提醒，降低人工劳动强度和漏检项，提高了工作效率和准确性。可适用于各部门测量设备台账的日常管理。</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6</w:t>
      </w:r>
      <w:r>
        <w:rPr>
          <w:rFonts w:hint="eastAsia" w:ascii="宋体" w:hAnsi="宋体"/>
          <w:bCs/>
          <w:color w:val="000000" w:themeColor="text1"/>
          <w:szCs w:val="21"/>
        </w:rPr>
        <w:t>-</w:t>
      </w:r>
      <w:r>
        <w:rPr>
          <w:rFonts w:hint="eastAsia" w:ascii="宋体" w:hAnsi="宋体"/>
          <w:bCs/>
          <w:color w:val="000000" w:themeColor="text1"/>
          <w:szCs w:val="21"/>
          <w:lang w:val="en-US" w:eastAsia="zh-CN"/>
        </w:rPr>
        <w:t>9</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4</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10</w:t>
      </w:r>
      <w:r>
        <w:rPr>
          <w:rFonts w:hint="eastAsia" w:ascii="宋体" w:hAnsi="宋体"/>
          <w:bCs/>
          <w:color w:val="000000" w:themeColor="text1"/>
          <w:szCs w:val="21"/>
        </w:rPr>
        <w:t>个部门进行了全要素的审核，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26</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2020</w:t>
      </w:r>
      <w:r>
        <w:rPr>
          <w:rFonts w:hint="eastAsia"/>
          <w:color w:val="000000" w:themeColor="text1"/>
          <w:szCs w:val="21"/>
        </w:rPr>
        <w:t>年</w:t>
      </w:r>
      <w:r>
        <w:rPr>
          <w:rFonts w:hint="eastAsia"/>
          <w:color w:val="000000" w:themeColor="text1"/>
          <w:szCs w:val="21"/>
          <w:lang w:val="en-US" w:eastAsia="zh-CN"/>
        </w:rPr>
        <w:t>12</w:t>
      </w:r>
      <w:r>
        <w:rPr>
          <w:rFonts w:hint="eastAsia"/>
          <w:color w:val="000000" w:themeColor="text1"/>
          <w:szCs w:val="21"/>
        </w:rPr>
        <w:t>月</w:t>
      </w:r>
      <w:r>
        <w:rPr>
          <w:rFonts w:hint="eastAsia"/>
          <w:color w:val="000000" w:themeColor="text1"/>
          <w:szCs w:val="21"/>
          <w:lang w:val="en-US" w:eastAsia="zh-CN"/>
        </w:rPr>
        <w:t>31</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该企业管理评审每年待其它体系</w:t>
      </w:r>
      <w:r>
        <w:rPr>
          <w:rStyle w:val="9"/>
          <w:rFonts w:hint="eastAsia" w:ascii="宋体" w:eastAsia="宋体"/>
          <w:color w:val="000000" w:themeColor="text1"/>
          <w:sz w:val="21"/>
          <w:szCs w:val="21"/>
        </w:rPr>
        <w:t>内审</w:t>
      </w:r>
      <w:r>
        <w:rPr>
          <w:rStyle w:val="9"/>
          <w:rFonts w:hint="eastAsia" w:ascii="宋体" w:eastAsia="宋体"/>
          <w:color w:val="000000" w:themeColor="text1"/>
          <w:sz w:val="21"/>
          <w:szCs w:val="21"/>
          <w:lang w:val="en-US" w:eastAsia="zh-CN"/>
        </w:rPr>
        <w:t>和外审完成后才进行管理评审</w:t>
      </w:r>
      <w:r>
        <w:rPr>
          <w:rFonts w:hint="eastAsia" w:ascii="宋体" w:hAnsi="宋体" w:eastAsia="宋体" w:cs="宋体"/>
          <w:color w:val="000000" w:themeColor="text1"/>
          <w:szCs w:val="21"/>
        </w:rPr>
        <w:t>)</w:t>
      </w:r>
      <w:r>
        <w:rPr>
          <w:rFonts w:hint="eastAsia"/>
          <w:color w:val="000000" w:themeColor="text1"/>
          <w:szCs w:val="21"/>
        </w:rPr>
        <w:t>，会议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李亚锋</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陈建琪</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并于2020年12月31号以</w:t>
      </w:r>
      <w:r>
        <w:rPr>
          <w:rFonts w:cs="宋体" w:asciiTheme="minorEastAsia" w:hAnsiTheme="minorEastAsia"/>
          <w:kern w:val="0"/>
          <w:szCs w:val="21"/>
        </w:rPr>
        <w:t>汉烟厂</w:t>
      </w:r>
      <w:r>
        <w:rPr>
          <w:rFonts w:hint="eastAsia" w:cs="宋体" w:asciiTheme="minorEastAsia" w:hAnsiTheme="minorEastAsia"/>
          <w:kern w:val="0"/>
          <w:szCs w:val="21"/>
          <w:lang w:val="en-US" w:eastAsia="zh-CN"/>
        </w:rPr>
        <w:t>办字</w:t>
      </w:r>
      <w:r>
        <w:rPr>
          <w:rFonts w:hint="eastAsia" w:ascii="宋体" w:hAnsi="宋体" w:eastAsia="宋体" w:cs="宋体"/>
          <w:kern w:val="0"/>
          <w:szCs w:val="21"/>
          <w:lang w:val="en-US" w:eastAsia="zh-CN"/>
        </w:rPr>
        <w:t>〔2021〕50号文件下发了</w:t>
      </w:r>
      <w:r>
        <w:rPr>
          <w:color w:val="000000" w:themeColor="text1"/>
          <w:szCs w:val="21"/>
        </w:rPr>
        <w:t>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s="宋体" w:asciiTheme="minorEastAsia" w:hAnsiTheme="minorEastAsia"/>
          <w:bCs/>
          <w:color w:val="000000" w:themeColor="text1"/>
          <w:kern w:val="0"/>
          <w:szCs w:val="21"/>
          <w:lang w:eastAsia="zh-CN"/>
        </w:rPr>
        <w:t>烟支重量过程控制</w:t>
      </w:r>
      <w:r>
        <w:rPr>
          <w:rFonts w:hint="eastAsia" w:cs="宋体" w:asciiTheme="minorEastAsia" w:hAnsiTheme="minorEastAsia"/>
          <w:bCs/>
          <w:color w:val="000000" w:themeColor="text1"/>
          <w:kern w:val="0"/>
          <w:szCs w:val="21"/>
        </w:rPr>
        <w:t>测量</w:t>
      </w:r>
      <w:r>
        <w:rPr>
          <w:rFonts w:hint="eastAsia"/>
          <w:color w:val="000000" w:themeColor="text1"/>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lang w:eastAsia="zh-CN"/>
        </w:rPr>
        <w:t>烟支重量过程控制</w:t>
      </w:r>
      <w:r>
        <w:rPr>
          <w:rFonts w:hint="eastAsia" w:cs="宋体" w:asciiTheme="minorEastAsia" w:hAnsiTheme="minorEastAsia"/>
          <w:bCs/>
          <w:color w:val="000000" w:themeColor="text1"/>
          <w:kern w:val="0"/>
          <w:szCs w:val="21"/>
        </w:rPr>
        <w:t>测量</w:t>
      </w:r>
      <w:r>
        <w:rPr>
          <w:rFonts w:hint="eastAsia"/>
          <w:color w:val="000000" w:themeColor="text1"/>
        </w:rPr>
        <w:t>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s="宋体" w:asciiTheme="minorEastAsia" w:hAnsiTheme="minorEastAsia"/>
          <w:bCs/>
          <w:color w:val="000000" w:themeColor="text1"/>
          <w:kern w:val="0"/>
          <w:szCs w:val="21"/>
          <w:lang w:eastAsia="zh-CN"/>
        </w:rPr>
        <w:t>烟支重量过程控制</w:t>
      </w:r>
      <w:r>
        <w:rPr>
          <w:rFonts w:hint="eastAsia" w:cs="宋体" w:asciiTheme="minorEastAsia" w:hAnsiTheme="minorEastAsia"/>
          <w:bCs/>
          <w:color w:val="000000" w:themeColor="text1"/>
          <w:kern w:val="0"/>
          <w:szCs w:val="21"/>
        </w:rPr>
        <w:t>测量</w:t>
      </w:r>
      <w:r>
        <w:rPr>
          <w:rFonts w:hint="eastAsia"/>
          <w:color w:val="000000" w:themeColor="text1"/>
        </w:rPr>
        <w:t>过程，采用比对进行有效性确认，满足要求。祥见附件《测量过程有效性确认》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lang w:eastAsia="zh-CN"/>
        </w:rPr>
        <w:t>烟支重量过程控制</w:t>
      </w:r>
      <w:r>
        <w:rPr>
          <w:rFonts w:hint="eastAsia" w:cs="宋体" w:asciiTheme="minorEastAsia" w:hAnsiTheme="minorEastAsia"/>
          <w:bCs/>
          <w:color w:val="000000" w:themeColor="text1"/>
          <w:kern w:val="0"/>
          <w:szCs w:val="21"/>
        </w:rPr>
        <w:t>测量</w:t>
      </w:r>
      <w:r>
        <w:rPr>
          <w:rFonts w:hint="eastAsia"/>
          <w:color w:val="000000" w:themeColor="text1"/>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lang w:eastAsia="zh-CN"/>
        </w:rPr>
        <w:t>烟支重量过程控制</w:t>
      </w:r>
      <w:r>
        <w:rPr>
          <w:rFonts w:hint="eastAsia" w:cs="宋体" w:asciiTheme="minorEastAsia" w:hAnsiTheme="minorEastAsia"/>
          <w:bCs/>
          <w:color w:val="000000" w:themeColor="text1"/>
          <w:kern w:val="0"/>
          <w:szCs w:val="21"/>
        </w:rPr>
        <w:t>测量</w:t>
      </w:r>
      <w:r>
        <w:rPr>
          <w:rFonts w:hint="eastAsia"/>
          <w:color w:val="000000" w:themeColor="text1"/>
        </w:rPr>
        <w:t>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w:t>
      </w:r>
      <w:r>
        <w:rPr>
          <w:rFonts w:hint="eastAsia" w:cs="宋体" w:asciiTheme="minorEastAsia" w:hAnsiTheme="minorEastAsia"/>
          <w:bCs/>
          <w:color w:val="000000" w:themeColor="text1"/>
          <w:kern w:val="0"/>
          <w:szCs w:val="21"/>
          <w:lang w:val="en-US" w:eastAsia="zh-CN"/>
        </w:rPr>
        <w:t>企业</w:t>
      </w:r>
      <w:r>
        <w:rPr>
          <w:rFonts w:hint="eastAsia" w:cs="宋体" w:asciiTheme="minorEastAsia" w:hAnsiTheme="minorEastAsia"/>
          <w:bCs/>
          <w:color w:val="000000" w:themeColor="text1"/>
          <w:kern w:val="0"/>
          <w:szCs w:val="21"/>
          <w:lang w:eastAsia="zh-CN"/>
        </w:rPr>
        <w:t>建立</w:t>
      </w:r>
      <w:r>
        <w:rPr>
          <w:rFonts w:hint="eastAsia" w:cs="宋体" w:asciiTheme="minorEastAsia" w:hAnsiTheme="minorEastAsia"/>
          <w:bCs/>
          <w:color w:val="000000" w:themeColor="text1"/>
          <w:kern w:val="0"/>
          <w:szCs w:val="21"/>
          <w:lang w:val="en-US" w:eastAsia="zh-CN"/>
        </w:rPr>
        <w:t>了</w:t>
      </w:r>
      <w:r>
        <w:rPr>
          <w:rFonts w:hint="eastAsia" w:cs="宋体" w:asciiTheme="minorEastAsia" w:hAnsiTheme="minorEastAsia"/>
          <w:bCs/>
          <w:color w:val="000000" w:themeColor="text1"/>
          <w:kern w:val="0"/>
          <w:szCs w:val="21"/>
          <w:lang w:eastAsia="zh-CN"/>
        </w:rPr>
        <w:t>《一般压力表》、《</w:t>
      </w:r>
      <w:r>
        <w:rPr>
          <w:rFonts w:hint="eastAsia" w:cs="宋体" w:asciiTheme="minorEastAsia" w:hAnsiTheme="minorEastAsia"/>
          <w:bCs/>
          <w:color w:val="000000" w:themeColor="text1"/>
          <w:kern w:val="0"/>
          <w:szCs w:val="21"/>
          <w:lang w:val="en-US" w:eastAsia="zh-CN"/>
        </w:rPr>
        <w:t>M1等级砝码</w:t>
      </w:r>
      <w:r>
        <w:rPr>
          <w:rFonts w:hint="eastAsia" w:cs="宋体" w:asciiTheme="minorEastAsia" w:hAnsiTheme="minorEastAsia"/>
          <w:bCs/>
          <w:color w:val="000000" w:themeColor="text1"/>
          <w:kern w:val="0"/>
          <w:szCs w:val="21"/>
          <w:lang w:eastAsia="zh-CN"/>
        </w:rPr>
        <w:t>》等</w:t>
      </w:r>
      <w:r>
        <w:rPr>
          <w:rFonts w:hint="eastAsia" w:cs="宋体" w:asciiTheme="minorEastAsia" w:hAnsiTheme="minorEastAsia"/>
          <w:bCs/>
          <w:color w:val="000000" w:themeColor="text1"/>
          <w:kern w:val="0"/>
          <w:szCs w:val="21"/>
          <w:lang w:val="en-US" w:eastAsia="zh-CN"/>
        </w:rPr>
        <w:t>2项最高计量</w:t>
      </w:r>
      <w:r>
        <w:rPr>
          <w:rFonts w:hint="eastAsia" w:cs="宋体" w:asciiTheme="minorEastAsia" w:hAnsiTheme="minorEastAsia"/>
          <w:bCs/>
          <w:color w:val="000000" w:themeColor="text1"/>
          <w:kern w:val="0"/>
          <w:szCs w:val="21"/>
          <w:lang w:eastAsia="zh-CN"/>
        </w:rPr>
        <w:t>标准器，企业测量设备</w:t>
      </w:r>
      <w:r>
        <w:rPr>
          <w:rFonts w:hint="eastAsia" w:cs="宋体" w:asciiTheme="minorEastAsia" w:hAnsiTheme="minorEastAsia"/>
          <w:bCs/>
          <w:color w:val="000000" w:themeColor="text1"/>
          <w:kern w:val="0"/>
          <w:szCs w:val="21"/>
          <w:lang w:val="en-US" w:eastAsia="zh-CN"/>
        </w:rPr>
        <w:t>均送外部有资质的机构进行溯源，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8</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企业20</w:t>
      </w:r>
      <w:r>
        <w:rPr>
          <w:rFonts w:hint="eastAsia" w:ascii="宋体" w:hAnsi="宋体" w:eastAsia="宋体"/>
          <w:bCs/>
          <w:color w:val="000000" w:themeColor="text1"/>
          <w:szCs w:val="21"/>
          <w:lang w:val="en-US" w:eastAsia="zh-CN"/>
          <w14:textFill>
            <w14:solidFill>
              <w14:schemeClr w14:val="tx1"/>
            </w14:solidFill>
          </w14:textFill>
        </w:rPr>
        <w:t>20</w:t>
      </w:r>
      <w:r>
        <w:rPr>
          <w:rFonts w:hint="eastAsia" w:ascii="宋体" w:hAnsi="宋体" w:eastAsia="宋体"/>
          <w:bCs/>
          <w:color w:val="000000" w:themeColor="text1"/>
          <w:szCs w:val="21"/>
          <w14:textFill>
            <w14:solidFill>
              <w14:schemeClr w14:val="tx1"/>
            </w14:solidFill>
          </w14:textFill>
        </w:rPr>
        <w:t>年耗能</w:t>
      </w:r>
      <w:r>
        <w:rPr>
          <w:rFonts w:hint="eastAsia" w:ascii="宋体" w:hAnsi="宋体" w:eastAsia="宋体"/>
          <w:bCs/>
          <w:color w:val="000000" w:themeColor="text1"/>
          <w:szCs w:val="21"/>
          <w:lang w:val="en-US" w:eastAsia="zh-CN"/>
          <w14:textFill>
            <w14:solidFill>
              <w14:schemeClr w14:val="tx1"/>
            </w14:solidFill>
          </w14:textFill>
        </w:rPr>
        <w:t>0.64</w:t>
      </w:r>
      <w:r>
        <w:rPr>
          <w:rFonts w:hint="eastAsia" w:ascii="宋体" w:hAnsi="宋体" w:eastAsia="宋体"/>
          <w:bCs/>
          <w:color w:val="000000" w:themeColor="text1"/>
          <w:szCs w:val="21"/>
          <w14:textFill>
            <w14:solidFill>
              <w14:schemeClr w14:val="tx1"/>
            </w14:solidFill>
          </w14:textFill>
        </w:rPr>
        <w:t>万吨标准煤。</w:t>
      </w:r>
      <w:r>
        <w:rPr>
          <w:rFonts w:hint="eastAsia" w:ascii="宋体" w:hAnsi="宋体" w:eastAsia="宋体"/>
          <w:bCs/>
          <w:color w:val="000000" w:themeColor="text1"/>
          <w:szCs w:val="21"/>
          <w:lang w:val="en-US" w:eastAsia="zh-CN"/>
          <w14:textFill>
            <w14:solidFill>
              <w14:schemeClr w14:val="tx1"/>
            </w14:solidFill>
          </w14:textFill>
        </w:rPr>
        <w:t>不是重点</w:t>
      </w:r>
      <w:r>
        <w:rPr>
          <w:rFonts w:hint="eastAsia" w:ascii="宋体" w:hAnsi="宋体" w:eastAsia="宋体"/>
          <w:bCs/>
          <w:color w:val="000000" w:themeColor="text1"/>
          <w:szCs w:val="21"/>
          <w14:textFill>
            <w14:solidFill>
              <w14:schemeClr w14:val="tx1"/>
            </w14:solidFill>
          </w14:textFill>
        </w:rPr>
        <w:t>耗能单位，企业建立了能源管理网络图和能源测量设备明细表，能源测量设备配备率满足要求。进出用能单位，应配</w:t>
      </w:r>
      <w:r>
        <w:rPr>
          <w:rFonts w:hint="eastAsia" w:ascii="宋体" w:hAnsi="宋体" w:eastAsia="宋体"/>
          <w:bCs/>
          <w:color w:val="000000" w:themeColor="text1"/>
          <w:szCs w:val="21"/>
          <w:lang w:val="en-US" w:eastAsia="zh-CN"/>
          <w14:textFill>
            <w14:solidFill>
              <w14:schemeClr w14:val="tx1"/>
            </w14:solidFill>
          </w14:textFill>
        </w:rPr>
        <w:t>6</w:t>
      </w:r>
      <w:r>
        <w:rPr>
          <w:rFonts w:hint="eastAsia" w:ascii="宋体" w:hAnsi="宋体" w:eastAsia="宋体"/>
          <w:bCs/>
          <w:color w:val="000000" w:themeColor="text1"/>
          <w:szCs w:val="21"/>
          <w14:textFill>
            <w14:solidFill>
              <w14:schemeClr w14:val="tx1"/>
            </w14:solidFill>
          </w14:textFill>
        </w:rPr>
        <w:t xml:space="preserve">台（件），实配 </w:t>
      </w:r>
      <w:r>
        <w:rPr>
          <w:rFonts w:hint="eastAsia" w:ascii="宋体" w:hAnsi="宋体" w:eastAsia="宋体"/>
          <w:bCs/>
          <w:color w:val="000000" w:themeColor="text1"/>
          <w:szCs w:val="21"/>
          <w:lang w:val="en-US" w:eastAsia="zh-CN"/>
          <w14:textFill>
            <w14:solidFill>
              <w14:schemeClr w14:val="tx1"/>
            </w14:solidFill>
          </w14:textFill>
        </w:rPr>
        <w:t>6</w:t>
      </w:r>
      <w:r>
        <w:rPr>
          <w:rFonts w:hint="eastAsia" w:ascii="宋体" w:hAnsi="宋体" w:eastAsia="宋体"/>
          <w:bCs/>
          <w:color w:val="000000" w:themeColor="text1"/>
          <w:szCs w:val="21"/>
          <w14:textFill>
            <w14:solidFill>
              <w14:schemeClr w14:val="tx1"/>
            </w14:solidFill>
          </w14:textFill>
        </w:rPr>
        <w:t>台（件）；进出主要次级用能单位，应配 ：</w:t>
      </w:r>
      <w:r>
        <w:rPr>
          <w:rFonts w:hint="eastAsia" w:ascii="宋体" w:hAnsi="宋体" w:eastAsia="宋体"/>
          <w:bCs/>
          <w:color w:val="000000" w:themeColor="text1"/>
          <w:szCs w:val="21"/>
          <w:lang w:val="en-US" w:eastAsia="zh-CN"/>
          <w14:textFill>
            <w14:solidFill>
              <w14:schemeClr w14:val="tx1"/>
            </w14:solidFill>
          </w14:textFill>
        </w:rPr>
        <w:t>14</w:t>
      </w:r>
      <w:r>
        <w:rPr>
          <w:rFonts w:hint="eastAsia" w:ascii="宋体" w:hAnsi="宋体" w:eastAsia="宋体"/>
          <w:bCs/>
          <w:color w:val="000000" w:themeColor="text1"/>
          <w:szCs w:val="21"/>
          <w14:textFill>
            <w14:solidFill>
              <w14:schemeClr w14:val="tx1"/>
            </w14:solidFill>
          </w14:textFill>
        </w:rPr>
        <w:t xml:space="preserve">台（件），实配 </w:t>
      </w:r>
      <w:r>
        <w:rPr>
          <w:rFonts w:hint="eastAsia" w:ascii="宋体" w:hAnsi="宋体" w:eastAsia="宋体"/>
          <w:bCs/>
          <w:color w:val="000000" w:themeColor="text1"/>
          <w:szCs w:val="21"/>
          <w:lang w:val="en-US" w:eastAsia="zh-CN"/>
          <w14:textFill>
            <w14:solidFill>
              <w14:schemeClr w14:val="tx1"/>
            </w14:solidFill>
          </w14:textFill>
        </w:rPr>
        <w:t>14</w:t>
      </w:r>
      <w:r>
        <w:rPr>
          <w:rFonts w:hint="eastAsia" w:ascii="宋体" w:hAnsi="宋体" w:eastAsia="宋体"/>
          <w:bCs/>
          <w:color w:val="000000" w:themeColor="text1"/>
          <w:szCs w:val="21"/>
          <w14:textFill>
            <w14:solidFill>
              <w14:schemeClr w14:val="tx1"/>
            </w14:solidFill>
          </w14:textFill>
        </w:rPr>
        <w:t xml:space="preserve">台（件）；进出主要用能设备（单元）应配 </w:t>
      </w:r>
      <w:r>
        <w:rPr>
          <w:rFonts w:hint="eastAsia" w:ascii="宋体" w:hAnsi="宋体" w:eastAsia="宋体"/>
          <w:bCs/>
          <w:color w:val="000000" w:themeColor="text1"/>
          <w:szCs w:val="21"/>
          <w:lang w:val="en-US" w:eastAsia="zh-CN"/>
          <w14:textFill>
            <w14:solidFill>
              <w14:schemeClr w14:val="tx1"/>
            </w14:solidFill>
          </w14:textFill>
        </w:rPr>
        <w:t>18</w:t>
      </w:r>
      <w:r>
        <w:rPr>
          <w:rFonts w:hint="eastAsia" w:ascii="宋体" w:hAnsi="宋体" w:eastAsia="宋体"/>
          <w:bCs/>
          <w:color w:val="000000" w:themeColor="text1"/>
          <w:szCs w:val="21"/>
          <w14:textFill>
            <w14:solidFill>
              <w14:schemeClr w14:val="tx1"/>
            </w14:solidFill>
          </w14:textFill>
        </w:rPr>
        <w:t xml:space="preserve">台（件），实配 </w:t>
      </w:r>
      <w:r>
        <w:rPr>
          <w:rFonts w:hint="eastAsia" w:ascii="宋体" w:hAnsi="宋体" w:eastAsia="宋体"/>
          <w:bCs/>
          <w:color w:val="000000" w:themeColor="text1"/>
          <w:szCs w:val="21"/>
          <w:lang w:val="en-US" w:eastAsia="zh-CN"/>
          <w14:textFill>
            <w14:solidFill>
              <w14:schemeClr w14:val="tx1"/>
            </w14:solidFill>
          </w14:textFill>
        </w:rPr>
        <w:t>18</w:t>
      </w:r>
      <w:r>
        <w:rPr>
          <w:rFonts w:hint="eastAsia" w:ascii="宋体" w:hAnsi="宋体" w:eastAsia="宋体"/>
          <w:bCs/>
          <w:color w:val="000000" w:themeColor="text1"/>
          <w:szCs w:val="21"/>
          <w14:textFill>
            <w14:solidFill>
              <w14:schemeClr w14:val="tx1"/>
            </w14:solidFill>
          </w14:textFill>
        </w:rPr>
        <w:t>台（件）；现场抽查测量设备配备率满足要求，能源计量管理满足GB17167要求。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ind w:firstLine="420" w:firstLineChars="200"/>
        <w:rPr>
          <w:rFonts w:hint="eastAsia" w:ascii="宋体" w:hAnsi="宋体" w:eastAsia="宋体"/>
          <w:bCs/>
          <w:color w:val="000000" w:themeColor="text1"/>
          <w:szCs w:val="21"/>
          <w:lang w:val="en-US" w:eastAsia="zh-CN"/>
        </w:rPr>
      </w:pPr>
      <w:r>
        <w:rPr>
          <w:rFonts w:hint="eastAsia" w:ascii="宋体" w:hAnsi="宋体" w:eastAsia="宋体"/>
          <w:bCs/>
          <w:color w:val="000000" w:themeColor="text1"/>
          <w:szCs w:val="21"/>
        </w:rPr>
        <w:t>经检查企业对2020年度中发现的1个不符合项</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rPr>
        <w:t>查出厂编号16070E305548余氯检测仪测量设备计量确认记录，</w:t>
      </w:r>
      <w:r>
        <w:rPr>
          <w:rFonts w:hint="eastAsia" w:ascii="宋体" w:hAnsi="宋体" w:eastAsia="宋体"/>
          <w:bCs/>
          <w:color w:val="000000" w:themeColor="text1"/>
          <w:szCs w:val="21"/>
          <w:lang w:val="en-US" w:eastAsia="zh-CN"/>
        </w:rPr>
        <w:t>不</w:t>
      </w:r>
      <w:r>
        <w:rPr>
          <w:rFonts w:hint="eastAsia" w:ascii="宋体" w:hAnsi="宋体" w:eastAsia="宋体"/>
          <w:bCs/>
          <w:color w:val="000000" w:themeColor="text1"/>
          <w:szCs w:val="21"/>
        </w:rPr>
        <w:t>测量设备的计量特性内容不全面</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lang w:val="en-US" w:eastAsia="zh-CN"/>
        </w:rPr>
        <w:t>不符合GB/T19022-2003标准条款7.1.4 的要求。</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企业对不符合组织了纠正，</w:t>
      </w:r>
      <w:r>
        <w:rPr>
          <w:rFonts w:hint="eastAsia" w:ascii="宋体" w:hAnsi="宋体" w:eastAsia="宋体"/>
          <w:bCs/>
          <w:color w:val="000000" w:themeColor="text1"/>
          <w:szCs w:val="21"/>
        </w:rPr>
        <w:t>查找原因，进行了纠正（预防）措施</w:t>
      </w:r>
      <w:r>
        <w:rPr>
          <w:rFonts w:hint="eastAsia" w:ascii="宋体" w:hAnsi="宋体" w:eastAsia="宋体"/>
          <w:bCs/>
          <w:color w:val="000000" w:themeColor="text1"/>
          <w:szCs w:val="21"/>
          <w:lang w:val="en-US" w:eastAsia="zh-CN"/>
        </w:rPr>
        <w:t>，</w:t>
      </w:r>
      <w:r>
        <w:rPr>
          <w:rFonts w:hint="eastAsia" w:ascii="宋体" w:hAnsi="宋体" w:eastAsia="宋体"/>
          <w:bCs/>
          <w:color w:val="000000" w:themeColor="text1"/>
          <w:szCs w:val="21"/>
        </w:rPr>
        <w:t>2021年02月26日完成纠正措施跟踪及有效性验证；验证该不符合项纠正措施有效，同意关闭。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企业2020年有未有顾客的投诉。企业未有违反法律、法规问题和产品质量问题的投诉或重大质量事故发生。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10</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本次监督审核未发现不符合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11</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18</w:t>
      </w:r>
      <w:r>
        <w:rPr>
          <w:rFonts w:hint="eastAsia" w:asciiTheme="minorEastAsia" w:hAnsiTheme="minorEastAsia"/>
          <w:bCs/>
          <w:color w:val="000000" w:themeColor="text1"/>
          <w:szCs w:val="21"/>
        </w:rPr>
        <w:t>日，对陕西中烟工业有限责任公司汉中卷烟厂监督审核</w:t>
      </w:r>
      <w:r>
        <w:rPr>
          <w:rFonts w:hint="eastAsia" w:asciiTheme="minorEastAsia" w:hAnsiTheme="minorEastAsia"/>
          <w:bCs/>
          <w:color w:val="000000" w:themeColor="text1"/>
          <w:szCs w:val="21"/>
        </w:rPr>
        <w:t>.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陕西中烟工业有限责任公司汉中卷烟厂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bookmarkStart w:id="11" w:name="_GoBack"/>
      <w:bookmarkEnd w:id="11"/>
      <w:r>
        <w:rPr>
          <w:rFonts w:hint="eastAsia" w:ascii="宋体" w:hAnsi="宋体" w:eastAsia="宋体" w:cs="Times New Roman"/>
          <w:szCs w:val="21"/>
          <w:lang w:eastAsia="zh-CN"/>
        </w:rPr>
        <w:drawing>
          <wp:anchor distT="0" distB="0" distL="114300" distR="114300" simplePos="0" relativeHeight="251661312" behindDoc="0" locked="0" layoutInCell="1" allowOverlap="1">
            <wp:simplePos x="0" y="0"/>
            <wp:positionH relativeFrom="column">
              <wp:posOffset>1452245</wp:posOffset>
            </wp:positionH>
            <wp:positionV relativeFrom="paragraph">
              <wp:posOffset>288925</wp:posOffset>
            </wp:positionV>
            <wp:extent cx="843915" cy="303530"/>
            <wp:effectExtent l="0" t="0" r="6985" b="1270"/>
            <wp:wrapNone/>
            <wp:docPr id="48" name="图片 48" descr="孙保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孙保健"/>
                    <pic:cNvPicPr>
                      <a:picLocks noChangeAspect="1"/>
                    </pic:cNvPicPr>
                  </pic:nvPicPr>
                  <pic:blipFill>
                    <a:blip r:embed="rId6"/>
                    <a:stretch>
                      <a:fillRect/>
                    </a:stretch>
                  </pic:blipFill>
                  <pic:spPr>
                    <a:xfrm>
                      <a:off x="0" y="0"/>
                      <a:ext cx="843915" cy="30353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2021.11.18</w:t>
      </w:r>
    </w:p>
    <w:p>
      <w:pPr>
        <w:widowControl/>
        <w:spacing w:line="360" w:lineRule="auto"/>
        <w:jc w:val="left"/>
        <w:rPr>
          <w:rFonts w:ascii="宋体" w:hAnsi="宋体" w:eastAsia="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2114550</wp:posOffset>
            </wp:positionH>
            <wp:positionV relativeFrom="paragraph">
              <wp:posOffset>278130</wp:posOffset>
            </wp:positionV>
            <wp:extent cx="421005" cy="323215"/>
            <wp:effectExtent l="0" t="0" r="10795" b="698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7"/>
                    <a:stretch>
                      <a:fillRect/>
                    </a:stretch>
                  </pic:blipFill>
                  <pic:spPr>
                    <a:xfrm>
                      <a:off x="0" y="0"/>
                      <a:ext cx="421005" cy="323215"/>
                    </a:xfrm>
                    <a:prstGeom prst="rect">
                      <a:avLst/>
                    </a:prstGeom>
                  </pic:spPr>
                </pic:pic>
              </a:graphicData>
            </a:graphic>
          </wp:anchor>
        </w:drawing>
      </w:r>
      <w:r>
        <w:rPr>
          <w:rFonts w:hint="default"/>
          <w:sz w:val="24"/>
        </w:rPr>
        <w:drawing>
          <wp:anchor distT="0" distB="0" distL="114300" distR="114300" simplePos="0" relativeHeight="251663360" behindDoc="0" locked="0" layoutInCell="1" allowOverlap="1">
            <wp:simplePos x="0" y="0"/>
            <wp:positionH relativeFrom="column">
              <wp:posOffset>1266825</wp:posOffset>
            </wp:positionH>
            <wp:positionV relativeFrom="paragraph">
              <wp:posOffset>273050</wp:posOffset>
            </wp:positionV>
            <wp:extent cx="495300" cy="311150"/>
            <wp:effectExtent l="0" t="0" r="0" b="6350"/>
            <wp:wrapNone/>
            <wp:docPr id="24" name="图片 24" descr="5f4167a3f64cf02d39cee354b56e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5f4167a3f64cf02d39cee354b56e065"/>
                    <pic:cNvPicPr>
                      <a:picLocks noChangeAspect="1"/>
                    </pic:cNvPicPr>
                  </pic:nvPicPr>
                  <pic:blipFill>
                    <a:blip r:embed="rId8"/>
                    <a:stretch>
                      <a:fillRect/>
                    </a:stretch>
                  </pic:blipFill>
                  <pic:spPr>
                    <a:xfrm>
                      <a:off x="0" y="0"/>
                      <a:ext cx="495300" cy="311150"/>
                    </a:xfrm>
                    <a:prstGeom prst="rect">
                      <a:avLst/>
                    </a:prstGeom>
                  </pic:spPr>
                </pic:pic>
              </a:graphicData>
            </a:graphic>
          </wp:anchor>
        </w:drawing>
      </w: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2021.11.18</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2957DB"/>
    <w:rsid w:val="23A6542D"/>
    <w:rsid w:val="29B12E8C"/>
    <w:rsid w:val="35296071"/>
    <w:rsid w:val="3D955B1A"/>
    <w:rsid w:val="4F8B452D"/>
    <w:rsid w:val="55565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2021-11-18T07:05:15Z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BF822063A14E4C81A6319C18009B5593</vt:lpwstr>
  </property>
</Properties>
</file>