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西咸新区城市设施管理有限公司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Q：27.02.00;28.03.01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E：27.02.00;28.03.01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O：27.02.00;28.03.01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供水站运行：</w:t>
            </w:r>
            <w:r>
              <w:rPr>
                <w:rFonts w:hint="eastAsia"/>
                <w:b/>
                <w:sz w:val="20"/>
                <w:szCs w:val="22"/>
              </w:rPr>
              <w:t>地下水→深水泵→原水池→碳滤→砂滤→中间水池→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保安过滤器→加压泵</w:t>
            </w:r>
            <w:r>
              <w:rPr>
                <w:rFonts w:hint="eastAsia"/>
                <w:b/>
                <w:sz w:val="20"/>
                <w:szCs w:val="22"/>
              </w:rPr>
              <w:t>→RO膜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过滤系统→清水池（消毒）→</w:t>
            </w:r>
            <w:r>
              <w:rPr>
                <w:rFonts w:hint="eastAsia"/>
                <w:b/>
                <w:sz w:val="20"/>
                <w:szCs w:val="22"/>
              </w:rPr>
              <w:t>用户供水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管网；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市政道路及基础设施的维护保养：现场巡查-发现问题-反馈给城管局-城管局下发派工单-选择外包施工方-实施维修（外包）-验收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供水</w:t>
            </w:r>
            <w:r>
              <w:rPr>
                <w:rFonts w:hint="eastAsia"/>
                <w:b/>
                <w:sz w:val="20"/>
                <w:szCs w:val="22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碳滤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砂滤</w:t>
            </w:r>
            <w:r>
              <w:rPr>
                <w:rFonts w:hint="eastAsia"/>
                <w:b/>
                <w:sz w:val="20"/>
                <w:szCs w:val="22"/>
              </w:rPr>
              <w:t>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膜过滤，消毒；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市政道路及基础设施的维护保养</w:t>
            </w: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现场巡查，外包方选择实施，验收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重要环境因素包含火灾、噪音、处理回水、固体废弃物，制定管理方案，加强对员工的环保意识的培训。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不可接收危险源包含火灾、触底、交通意外、高空坠落、密闭空间窒息等，制定管理方案，加强对员工的安全意识的培训。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城市供水条例（2020年国务院令第726号）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；饮用水处理用浸没式中空纤维超滤膜组件及装置CJ/T 530-2018；自来水处理用煤质颗粒活性炭技术规范DB31/T 451-2009；生活饮用水水源水质标准CJ 3020-1993；生活饮用水样品采集技术规范DB11/T 1702-2019；生活饮用水卫生标准GB 5749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-2006；生活饮用水标准检验方法总则GB/T 5750.1-2006；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《合同法》、《安全生产法》、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》、GBZ2.1-2019《工作场所有害因素职业接触限值 第1部分：化学有害因素》和GBZ2.2-2017《工作场所有害因素职业接触限值 第2部分：物理因素》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附件1：</w:t>
      </w:r>
    </w:p>
    <w:tbl>
      <w:tblPr>
        <w:tblStyle w:val="5"/>
        <w:tblW w:w="8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930"/>
        <w:gridCol w:w="3255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监测点位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监测项目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标准限值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供水站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E108°43′26.68″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N34°15′09.03″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总大肠杆菌群（MPN/100mL）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不得检出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耐热大肠杆菌（MPN/100mL）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不得检出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大肠埃希氏菌(MPN/100mL)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不得检出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菌落总数（CFU/mL）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汞（mg/L）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砷（mg/L）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硒（mg/L）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氰化物（mg/L）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硝酸盐（以N计）（mg/L）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氯化物（mg/L）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硫酸盐（mg/L）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氟化物（mg/L）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溴酸盐（mg/L）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氯酸盐（mg/L）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亚氯酸盐（mg/L）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铜（mg/L）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锌（mg/L）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铅（mg/L）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铬（mg/L）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锰（mg/L）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铝（mg/L）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六价铬（mg/L）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三氯甲烷（mg/L）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四氯化碳（mg/L）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甲醛（mg/L）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色度（度）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浑浊度（NTU）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臭和味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无异臭、异味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肉眼可见物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pH值（无量纲）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溶解性总固体（mg/L）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总硬度（mg/L）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耗氧量（mg/L）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挥发酚（mg/L）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阴离子合成洗涤剂（mg/L）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总α放射性（Bq/L）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总β放射性（Bq/L）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备注：评价依据《生活饮用水卫生标准》GB 5749-2006表1水质常规指标及限值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3693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2021-11-11T12:25:03Z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