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_GoBack"/>
            <w:bookmarkStart w:id="0" w:name="组织名称"/>
            <w:r>
              <w:rPr>
                <w:sz w:val="21"/>
                <w:szCs w:val="21"/>
              </w:rPr>
              <w:t>启源电气股份有限公司</w:t>
            </w:r>
            <w:bookmarkEnd w:id="0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河北省任丘市麻家坞镇刘家泊村村西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河北省任丘市麻家坞镇刘家泊村村西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何玉峰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18932772229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071000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1172-2021-E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铁构件（横担、抱箍、拉线棒）、复合绝缘子、隔离开关、高压熔断器、氧化锌避雷器、金属制品（井盖）、电线电缆销售所涉及场所的相关环境管理活动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2021年11月20日 上午至2021年11月21日 上午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2021.11.18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tbl>
      <w:tblPr>
        <w:tblStyle w:val="6"/>
        <w:tblpPr w:leftFromText="180" w:rightFromText="180" w:vertAnchor="text" w:horzAnchor="page" w:tblpX="732" w:tblpY="399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2021.11.20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12：30-17：30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整理资料、与管代沟通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7437D"/>
    <w:rsid w:val="2AB07A68"/>
    <w:rsid w:val="3A340884"/>
    <w:rsid w:val="66FA0E20"/>
    <w:rsid w:val="69753594"/>
    <w:rsid w:val="7BE55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14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2021-11-21T01:59:41Z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