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1173-2021-QEO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重庆兴宏园林景观绿化工程有限公司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4"/>
        <w:rPr>
          <w:sz w:val="28"/>
          <w:szCs w:val="28"/>
        </w:rPr>
      </w:pPr>
    </w:p>
    <w:p>
      <w:pPr>
        <w:pStyle w:val="14"/>
        <w:rPr>
          <w:sz w:val="28"/>
          <w:szCs w:val="28"/>
        </w:rPr>
      </w:pPr>
    </w:p>
    <w:p>
      <w:pPr>
        <w:pStyle w:val="14"/>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重庆兴宏园林景观绿化工程有限公司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重庆市涪陵区李渡镇幸福村一社</w:t>
            </w:r>
            <w:bookmarkEnd w:id="6"/>
          </w:p>
        </w:tc>
        <w:tc>
          <w:tcPr>
            <w:tcW w:w="1242" w:type="dxa"/>
            <w:vMerge w:val="restart"/>
            <w:vAlign w:val="center"/>
          </w:tcPr>
          <w:p>
            <w:r>
              <w:rPr>
                <w:rFonts w:hint="eastAsia"/>
              </w:rPr>
              <w:t>邮编</w:t>
            </w:r>
          </w:p>
        </w:tc>
        <w:tc>
          <w:tcPr>
            <w:tcW w:w="1771" w:type="dxa"/>
          </w:tcPr>
          <w:p>
            <w:bookmarkStart w:id="7" w:name="注册邮编"/>
            <w:r>
              <w:t>418107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重庆市渝北区龙华大道99号长安锦绣城26栋16楼</w:t>
            </w:r>
            <w:bookmarkEnd w:id="8"/>
          </w:p>
        </w:tc>
        <w:tc>
          <w:tcPr>
            <w:tcW w:w="1242" w:type="dxa"/>
            <w:vMerge w:val="continue"/>
            <w:vAlign w:val="center"/>
          </w:tcPr>
          <w:p/>
        </w:tc>
        <w:tc>
          <w:tcPr>
            <w:tcW w:w="1771" w:type="dxa"/>
          </w:tcPr>
          <w:p>
            <w:bookmarkStart w:id="9" w:name="办公邮编"/>
            <w:r>
              <w:t>401147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罗晓红</w:t>
            </w:r>
            <w:bookmarkEnd w:id="10"/>
          </w:p>
        </w:tc>
        <w:tc>
          <w:tcPr>
            <w:tcW w:w="1313" w:type="dxa"/>
            <w:vAlign w:val="center"/>
          </w:tcPr>
          <w:p>
            <w:r>
              <w:rPr>
                <w:rFonts w:hint="eastAsia"/>
              </w:rPr>
              <w:t>电话.</w:t>
            </w:r>
          </w:p>
        </w:tc>
        <w:tc>
          <w:tcPr>
            <w:tcW w:w="2180" w:type="dxa"/>
            <w:vAlign w:val="center"/>
          </w:tcPr>
          <w:p>
            <w:bookmarkStart w:id="11" w:name="联系人电话"/>
            <w:r>
              <w:t>13983436385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方小会</w:t>
            </w:r>
            <w:bookmarkEnd w:id="13"/>
          </w:p>
        </w:tc>
        <w:tc>
          <w:tcPr>
            <w:tcW w:w="1313" w:type="dxa"/>
            <w:vAlign w:val="center"/>
          </w:tcPr>
          <w:p>
            <w:r>
              <w:rPr>
                <w:rFonts w:hint="eastAsia"/>
              </w:rPr>
              <w:t>管理者代表</w:t>
            </w:r>
          </w:p>
        </w:tc>
        <w:tc>
          <w:tcPr>
            <w:tcW w:w="2180" w:type="dxa"/>
          </w:tcPr>
          <w:p>
            <w:bookmarkStart w:id="14" w:name="管理者代表"/>
            <w:r>
              <w:t>罗晓红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eastAsia="zh-CN"/>
              </w:rPr>
              <w:t>园林绿化综合养护：合同签订—养护方案拟定—日常养护—养护质量检查。</w:t>
            </w:r>
          </w:p>
          <w:p>
            <w:r>
              <w:rPr>
                <w:rFonts w:hint="eastAsia" w:ascii="Times New Roman" w:hAnsi="Times New Roman" w:eastAsia="宋体" w:cs="Times New Roman"/>
                <w:b w:val="0"/>
                <w:bCs/>
                <w:color w:val="auto"/>
                <w:sz w:val="21"/>
                <w:szCs w:val="21"/>
                <w:highlight w:val="none"/>
                <w:lang w:eastAsia="zh-CN"/>
              </w:rPr>
              <w:t>园林绿化工程施工：合同签订—施工方案拟定—清理场地—场地平整—放线定点—苗木种植—后续维护。</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2021年11月12日 上午至2021年11月15日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Q：园林绿化工程施工；园林绿化综合性养护管理</w:t>
            </w:r>
          </w:p>
          <w:p>
            <w:r>
              <w:t>E：园林绿化工程施工；园林绿化综合性养护管理所涉及场所的相关环境管理活动</w:t>
            </w:r>
          </w:p>
          <w:p>
            <w:r>
              <w:t>O：园林绿化工程施工；园林绿化综合性养护管理所涉及场所的相关职业健康安全管理活动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Q：35.17.00</w:t>
            </w:r>
          </w:p>
          <w:p>
            <w:r>
              <w:t>E：35.17.00</w:t>
            </w:r>
          </w:p>
          <w:p>
            <w:r>
              <w:t>O：35.17.00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68"/>
        <w:gridCol w:w="638"/>
        <w:gridCol w:w="1598"/>
        <w:gridCol w:w="23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68" w:type="dxa"/>
            <w:shd w:val="clear" w:color="auto" w:fill="F3F3F3"/>
            <w:tcMar>
              <w:left w:w="57" w:type="dxa"/>
              <w:right w:w="57" w:type="dxa"/>
            </w:tcMar>
          </w:tcPr>
          <w:p>
            <w:r>
              <w:rPr>
                <w:rFonts w:hint="eastAsia"/>
              </w:rPr>
              <w:t>经营场所的地址</w:t>
            </w:r>
          </w:p>
          <w:p>
            <w:r>
              <w:rPr>
                <w:rFonts w:hint="eastAsia"/>
              </w:rPr>
              <w:t>（多现场和临时现场）</w:t>
            </w:r>
          </w:p>
        </w:tc>
        <w:tc>
          <w:tcPr>
            <w:tcW w:w="638" w:type="dxa"/>
            <w:shd w:val="clear" w:color="auto" w:fill="F3F3F3"/>
            <w:tcMar>
              <w:left w:w="57" w:type="dxa"/>
              <w:right w:w="57" w:type="dxa"/>
            </w:tcMar>
          </w:tcPr>
          <w:p>
            <w:r>
              <w:rPr>
                <w:rFonts w:hint="eastAsia"/>
              </w:rPr>
              <w:t>员工人数</w:t>
            </w:r>
          </w:p>
        </w:tc>
        <w:tc>
          <w:tcPr>
            <w:tcW w:w="1598" w:type="dxa"/>
            <w:shd w:val="clear" w:color="auto" w:fill="F3F3F3"/>
            <w:tcMar>
              <w:left w:w="57" w:type="dxa"/>
              <w:right w:w="57" w:type="dxa"/>
            </w:tcMar>
          </w:tcPr>
          <w:p>
            <w:r>
              <w:rPr>
                <w:rFonts w:hint="eastAsia"/>
              </w:rPr>
              <w:t>审核范围（产品和过程）</w:t>
            </w:r>
          </w:p>
          <w:p/>
          <w:p/>
        </w:tc>
        <w:tc>
          <w:tcPr>
            <w:tcW w:w="230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宋体" w:cs="Times New Roman"/>
                <w:kern w:val="2"/>
                <w:sz w:val="21"/>
                <w:szCs w:val="21"/>
                <w:lang w:val="de-DE" w:eastAsia="ja-JP" w:bidi="ar-SA"/>
              </w:rPr>
            </w:pPr>
            <w:r>
              <w:rPr>
                <w:szCs w:val="21"/>
              </w:rPr>
              <w:t>重庆兴宏园林景观绿化工程有限公司</w:t>
            </w:r>
            <w:r>
              <w:rPr>
                <w:rFonts w:hint="eastAsia"/>
                <w:szCs w:val="21"/>
              </w:rPr>
              <w:t>/</w:t>
            </w:r>
            <w:r>
              <w:rPr>
                <w:szCs w:val="21"/>
              </w:rPr>
              <w:t>重庆市涪陵区李渡镇幸福村一社</w:t>
            </w:r>
          </w:p>
        </w:tc>
        <w:tc>
          <w:tcPr>
            <w:tcW w:w="1768" w:type="dxa"/>
            <w:vAlign w:val="top"/>
          </w:tcPr>
          <w:p>
            <w:pPr>
              <w:spacing w:before="40" w:after="40"/>
              <w:rPr>
                <w:rFonts w:ascii="Times New Roman" w:hAnsi="Times New Roman" w:eastAsia="黑体" w:cs="Times New Roman"/>
                <w:kern w:val="2"/>
                <w:sz w:val="21"/>
                <w:szCs w:val="21"/>
                <w:lang w:val="de-DE" w:eastAsia="ja-JP" w:bidi="ar-SA"/>
              </w:rPr>
            </w:pPr>
            <w:r>
              <w:rPr>
                <w:szCs w:val="21"/>
              </w:rPr>
              <w:t>重庆市渝北区龙华大道99号长安锦绣城26栋16楼</w:t>
            </w:r>
          </w:p>
        </w:tc>
        <w:tc>
          <w:tcPr>
            <w:tcW w:w="638"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rPr>
              <w:t>37人</w:t>
            </w:r>
          </w:p>
        </w:tc>
        <w:tc>
          <w:tcPr>
            <w:tcW w:w="1598" w:type="dxa"/>
            <w:vAlign w:val="center"/>
          </w:tcPr>
          <w:p>
            <w:pPr>
              <w:pStyle w:val="23"/>
              <w:rPr>
                <w:lang w:val="en-US" w:eastAsia="ja-JP"/>
              </w:rPr>
            </w:pPr>
            <w:r>
              <w:t>园林绿化工程施工；园林绿化综合性养护管理</w:t>
            </w:r>
          </w:p>
        </w:tc>
        <w:tc>
          <w:tcPr>
            <w:tcW w:w="2306" w:type="dxa"/>
            <w:vAlign w:val="center"/>
          </w:tcPr>
          <w:p>
            <w:pPr>
              <w:pStyle w:val="23"/>
              <w:rPr>
                <w:lang w:val="en-US" w:eastAsia="ja-JP"/>
              </w:rPr>
            </w:pPr>
            <w:r>
              <w:rPr>
                <w:rFonts w:hint="eastAsia"/>
              </w:rPr>
              <w:t>GB/T19001-2016、 GB/T24001-2016 、GB/T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rFonts w:ascii="Times New Roman" w:hAnsi="Times New Roman" w:eastAsia="宋体" w:cs="Times New Roman"/>
                <w:kern w:val="2"/>
                <w:sz w:val="21"/>
                <w:szCs w:val="21"/>
                <w:lang w:val="en-US" w:eastAsia="ja-JP" w:bidi="ar-SA"/>
              </w:rPr>
            </w:pPr>
            <w:r>
              <w:rPr>
                <w:szCs w:val="21"/>
              </w:rPr>
              <w:t>重庆兴宏园林景观绿化工程有限公司</w:t>
            </w:r>
            <w:r>
              <w:rPr>
                <w:rFonts w:hint="eastAsia"/>
                <w:szCs w:val="21"/>
              </w:rPr>
              <w:t>/</w:t>
            </w:r>
            <w:r>
              <w:rPr>
                <w:szCs w:val="21"/>
              </w:rPr>
              <w:t>重庆市涪陵区李渡镇幸福村一社</w:t>
            </w:r>
          </w:p>
        </w:tc>
        <w:tc>
          <w:tcPr>
            <w:tcW w:w="1768"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szCs w:val="22"/>
              </w:rPr>
              <w:t>重庆市涪陵区乌江大桥西桥头（临时场所）</w:t>
            </w:r>
          </w:p>
        </w:tc>
        <w:tc>
          <w:tcPr>
            <w:tcW w:w="638"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rPr>
              <w:t>15人</w:t>
            </w:r>
          </w:p>
        </w:tc>
        <w:tc>
          <w:tcPr>
            <w:tcW w:w="1598" w:type="dxa"/>
            <w:vAlign w:val="center"/>
          </w:tcPr>
          <w:p>
            <w:pPr>
              <w:pStyle w:val="23"/>
              <w:rPr>
                <w:lang w:val="en-US" w:eastAsia="ja-JP"/>
              </w:rPr>
            </w:pPr>
            <w:r>
              <w:t>园林绿化工程施工；园林绿化综合性养护管理</w:t>
            </w:r>
          </w:p>
        </w:tc>
        <w:tc>
          <w:tcPr>
            <w:tcW w:w="2306" w:type="dxa"/>
            <w:vAlign w:val="center"/>
          </w:tcPr>
          <w:p>
            <w:pPr>
              <w:pStyle w:val="23"/>
              <w:rPr>
                <w:lang w:val="en-US" w:eastAsia="ja-JP"/>
              </w:rPr>
            </w:pPr>
            <w:r>
              <w:rPr>
                <w:rFonts w:hint="eastAsia"/>
              </w:rPr>
              <w:t>GB/T19001-2016、 GB/T24001-2016 、GB/T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768" w:type="dxa"/>
            <w:vAlign w:val="center"/>
          </w:tcPr>
          <w:p>
            <w:pPr>
              <w:rPr>
                <w:lang w:eastAsia="ja-JP"/>
              </w:rPr>
            </w:pPr>
          </w:p>
        </w:tc>
        <w:tc>
          <w:tcPr>
            <w:tcW w:w="638" w:type="dxa"/>
            <w:vAlign w:val="center"/>
          </w:tcPr>
          <w:p>
            <w:pPr>
              <w:rPr>
                <w:lang w:eastAsia="ja-JP"/>
              </w:rPr>
            </w:pPr>
          </w:p>
        </w:tc>
        <w:tc>
          <w:tcPr>
            <w:tcW w:w="1598" w:type="dxa"/>
            <w:vAlign w:val="center"/>
          </w:tcPr>
          <w:p>
            <w:pPr>
              <w:rPr>
                <w:lang w:eastAsia="ja-JP"/>
              </w:rPr>
            </w:pPr>
          </w:p>
        </w:tc>
        <w:tc>
          <w:tcPr>
            <w:tcW w:w="230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Q:35.17.00</w:t>
            </w:r>
          </w:p>
          <w:p>
            <w:r>
              <w:t>E:35.17.00</w:t>
            </w:r>
          </w:p>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Q:35.17.00</w:t>
            </w:r>
          </w:p>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宋体" w:hAnsi="宋体" w:cs="宋体"/>
                <w:b w:val="0"/>
                <w:bCs w:val="0"/>
                <w:color w:val="auto"/>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园林绿化工程施工；园林绿化综合性养护管理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园林绿化工程施工；园林绿化综合性养护管理所涉及场所的相关环境管理活动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园林绿化工程施工；园林绿化综合性养护管理所涉及场所的相关职业健康安全管理活动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399415</wp:posOffset>
                  </wp:positionH>
                  <wp:positionV relativeFrom="paragraph">
                    <wp:posOffset>107950</wp:posOffset>
                  </wp:positionV>
                  <wp:extent cx="411480" cy="381000"/>
                  <wp:effectExtent l="0" t="0" r="762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2021.11.15</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最高管理者制定了文件化的管理体系方针：</w:t>
            </w:r>
          </w:p>
          <w:p>
            <w:pPr>
              <w:shd w:val="clear" w:color="auto" w:fill="C7DAF1" w:themeFill="text2" w:themeFillTint="32"/>
              <w:rPr>
                <w:rFonts w:hint="eastAsia" w:ascii="Times New Roman" w:hAnsi="Times New Roman" w:eastAsia="宋体" w:cs="Times New Roman"/>
                <w:lang w:val="en-GB"/>
              </w:rPr>
            </w:pPr>
            <w:r>
              <w:rPr>
                <w:rFonts w:hint="eastAsia" w:eastAsia="宋体" w:cs="Times New Roman"/>
                <w:lang w:val="en-GB" w:eastAsia="zh-CN"/>
              </w:rPr>
              <w:t>创新实干、持续改进；提升管理、遵纪守法；减少污染、安全生产</w:t>
            </w:r>
            <w:r>
              <w:rPr>
                <w:rFonts w:hint="eastAsia" w:ascii="Times New Roman" w:hAnsi="Times New Roman" w:eastAsia="宋体" w:cs="Times New Roman"/>
                <w:lang w:val="en-GB"/>
              </w:rPr>
              <w:t xml:space="preserve">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采购物资</w:t>
                  </w:r>
                  <w:r>
                    <w:rPr>
                      <w:rFonts w:hint="eastAsia"/>
                      <w:lang w:eastAsia="zh-CN"/>
                    </w:rPr>
                    <w:t>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4"/>
                    <w:spacing w:line="240" w:lineRule="auto"/>
                    <w:ind w:firstLine="0" w:firstLineChars="0"/>
                    <w:jc w:val="left"/>
                    <w:rPr>
                      <w:rFonts w:ascii="Times New Roman" w:hAnsi="Times New Roman" w:eastAsia="宋体" w:cs="Times New Roman"/>
                      <w:color w:val="0000FF"/>
                      <w:kern w:val="2"/>
                      <w:sz w:val="21"/>
                      <w:szCs w:val="24"/>
                      <w:highlight w:val="yellow"/>
                      <w:lang w:val="en-US" w:eastAsia="zh-CN" w:bidi="ar-SA"/>
                    </w:rPr>
                  </w:pPr>
                  <w:r>
                    <w:rPr>
                      <w:rFonts w:hint="eastAsia" w:asciiTheme="minorEastAsia" w:hAnsiTheme="minorEastAsia" w:eastAsiaTheme="minorEastAsia"/>
                      <w:color w:val="auto"/>
                      <w:sz w:val="21"/>
                      <w:szCs w:val="21"/>
                    </w:rPr>
                    <w:t>工程交付合格率100％</w:t>
                  </w:r>
                  <w:r>
                    <w:rPr>
                      <w:rFonts w:hint="eastAsia" w:asciiTheme="minorEastAsia" w:hAnsiTheme="minorEastAsia" w:eastAsiaTheme="minorEastAsia"/>
                      <w:color w:val="auto"/>
                      <w:sz w:val="21"/>
                      <w:szCs w:val="21"/>
                      <w:lang w:eastAsia="zh-CN"/>
                    </w:rPr>
                    <w:t>，</w:t>
                  </w:r>
                </w:p>
              </w:tc>
              <w:tc>
                <w:tcPr>
                  <w:tcW w:w="2935" w:type="dxa"/>
                  <w:shd w:val="clear" w:color="auto" w:fill="auto"/>
                  <w:vAlign w:val="center"/>
                </w:tcPr>
                <w:p>
                  <w:pPr>
                    <w:widowControl/>
                    <w:jc w:val="left"/>
                    <w:rPr>
                      <w:rFonts w:cs="Times New Roman" w:asciiTheme="minorEastAsia" w:hAnsiTheme="minorEastAsia" w:eastAsiaTheme="minorEastAsia"/>
                      <w:color w:val="auto"/>
                      <w:kern w:val="2"/>
                      <w:sz w:val="21"/>
                      <w:szCs w:val="21"/>
                      <w:highlight w:val="none"/>
                      <w:lang w:val="en-GB" w:eastAsia="zh-CN" w:bidi="ar-SA"/>
                    </w:rPr>
                  </w:pPr>
                  <w:r>
                    <w:rPr>
                      <w:rFonts w:hint="eastAsia" w:asciiTheme="minorEastAsia" w:hAnsiTheme="minorEastAsia" w:eastAsiaTheme="minorEastAsia"/>
                      <w:color w:val="auto"/>
                      <w:sz w:val="21"/>
                      <w:szCs w:val="21"/>
                      <w:highlight w:val="none"/>
                    </w:rPr>
                    <w:t>交付合格数量/</w:t>
                  </w:r>
                  <w:r>
                    <w:rPr>
                      <w:rFonts w:hint="eastAsia" w:asciiTheme="minorEastAsia" w:hAnsiTheme="minorEastAsia" w:eastAsiaTheme="minorEastAsia"/>
                      <w:color w:val="auto"/>
                      <w:sz w:val="21"/>
                      <w:szCs w:val="21"/>
                      <w:highlight w:val="none"/>
                      <w:lang w:val="en-US" w:eastAsia="zh-CN"/>
                    </w:rPr>
                    <w:t>交付</w:t>
                  </w:r>
                  <w:r>
                    <w:rPr>
                      <w:rFonts w:hint="eastAsia" w:asciiTheme="minorEastAsia" w:hAnsiTheme="minorEastAsia" w:eastAsiaTheme="minorEastAsia"/>
                      <w:color w:val="auto"/>
                      <w:sz w:val="21"/>
                      <w:szCs w:val="21"/>
                      <w:highlight w:val="none"/>
                    </w:rPr>
                    <w:t>总数*100%</w:t>
                  </w:r>
                </w:p>
              </w:tc>
              <w:tc>
                <w:tcPr>
                  <w:tcW w:w="1353" w:type="dxa"/>
                  <w:shd w:val="clear" w:color="auto" w:fill="auto"/>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GB" w:eastAsia="zh-CN" w:bidi="ar-SA"/>
                    </w:rPr>
                  </w:pPr>
                  <w:r>
                    <w:rPr>
                      <w:rFonts w:hint="eastAsia" w:ascii="宋体" w:hAnsi="宋体" w:cs="宋体"/>
                      <w:color w:val="000000" w:themeColor="text1"/>
                      <w:kern w:val="0"/>
                      <w:highlight w:val="none"/>
                      <w:lang w:val="en-US" w:eastAsia="zh-CN"/>
                    </w:rPr>
                    <w:t>项目</w:t>
                  </w:r>
                  <w:r>
                    <w:rPr>
                      <w:rFonts w:hint="eastAsia" w:ascii="宋体" w:hAnsi="宋体" w:cs="宋体"/>
                      <w:color w:val="000000" w:themeColor="text1"/>
                      <w:kern w:val="0"/>
                      <w:highlight w:val="none"/>
                    </w:rPr>
                    <w:t>部</w:t>
                  </w:r>
                </w:p>
              </w:tc>
              <w:tc>
                <w:tcPr>
                  <w:tcW w:w="1682" w:type="dxa"/>
                  <w:shd w:val="clear" w:color="auto" w:fill="auto"/>
                  <w:vAlign w:val="center"/>
                </w:tcPr>
                <w:p>
                  <w:pPr>
                    <w:widowControl/>
                    <w:jc w:val="left"/>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4"/>
                    <w:spacing w:line="240" w:lineRule="auto"/>
                    <w:ind w:firstLine="0" w:firstLineChars="0"/>
                    <w:jc w:val="left"/>
                    <w:rPr>
                      <w:rFonts w:ascii="Times New Roman" w:hAnsi="Times New Roman" w:eastAsia="宋体" w:cs="Times New Roman"/>
                      <w:color w:val="0000FF"/>
                      <w:kern w:val="2"/>
                      <w:sz w:val="21"/>
                      <w:szCs w:val="24"/>
                      <w:highlight w:val="yellow"/>
                      <w:lang w:val="en-US" w:eastAsia="zh-CN" w:bidi="ar-SA"/>
                    </w:rPr>
                  </w:pPr>
                  <w:r>
                    <w:rPr>
                      <w:rFonts w:hint="eastAsia" w:asciiTheme="minorEastAsia" w:hAnsiTheme="minorEastAsia" w:eastAsiaTheme="minorEastAsia"/>
                      <w:color w:val="auto"/>
                      <w:sz w:val="21"/>
                      <w:szCs w:val="21"/>
                    </w:rPr>
                    <w:t>顾客满意度80分以上</w:t>
                  </w:r>
                </w:p>
              </w:tc>
              <w:tc>
                <w:tcPr>
                  <w:tcW w:w="2935" w:type="dxa"/>
                  <w:shd w:val="clear" w:color="auto" w:fill="auto"/>
                  <w:vAlign w:val="center"/>
                </w:tcPr>
                <w:p>
                  <w:pPr>
                    <w:widowControl/>
                    <w:jc w:val="lef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顾客满意度调查总分数/顾客调查总数</w:t>
                  </w:r>
                </w:p>
              </w:tc>
              <w:tc>
                <w:tcPr>
                  <w:tcW w:w="1353"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themeColor="text1"/>
                      <w:kern w:val="0"/>
                      <w:highlight w:val="none"/>
                      <w:lang w:val="en-US" w:eastAsia="zh-CN"/>
                    </w:rPr>
                    <w:t>经营</w:t>
                  </w:r>
                  <w:r>
                    <w:rPr>
                      <w:rFonts w:hint="eastAsia" w:ascii="宋体" w:hAnsi="宋体" w:cs="宋体"/>
                      <w:color w:val="000000" w:themeColor="text1"/>
                      <w:kern w:val="0"/>
                      <w:highlight w:val="none"/>
                    </w:rPr>
                    <w:t>部</w:t>
                  </w:r>
                </w:p>
              </w:tc>
              <w:tc>
                <w:tcPr>
                  <w:tcW w:w="1682" w:type="dxa"/>
                  <w:shd w:val="clear" w:color="auto" w:fill="auto"/>
                  <w:vAlign w:val="center"/>
                </w:tcPr>
                <w:p>
                  <w:pPr>
                    <w:widowControl/>
                    <w:jc w:val="left"/>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9</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4"/>
                    <w:spacing w:line="240" w:lineRule="auto"/>
                    <w:ind w:firstLine="0" w:firstLineChars="0"/>
                    <w:jc w:val="left"/>
                    <w:rPr>
                      <w:rFonts w:ascii="Times New Roman" w:hAnsi="Times New Roman" w:eastAsia="宋体" w:cs="Times New Roman"/>
                      <w:color w:val="0000FF"/>
                      <w:kern w:val="2"/>
                      <w:sz w:val="21"/>
                      <w:szCs w:val="24"/>
                      <w:highlight w:val="yellow"/>
                      <w:lang w:val="en-US" w:eastAsia="zh-CN" w:bidi="ar-SA"/>
                    </w:rPr>
                  </w:pPr>
                  <w:r>
                    <w:rPr>
                      <w:rFonts w:hint="eastAsia" w:asciiTheme="minorEastAsia" w:hAnsiTheme="minorEastAsia" w:eastAsiaTheme="minorEastAsia"/>
                      <w:color w:val="auto"/>
                      <w:sz w:val="21"/>
                      <w:szCs w:val="21"/>
                    </w:rPr>
                    <w:t>合同履约率100％</w:t>
                  </w:r>
                  <w:r>
                    <w:rPr>
                      <w:rFonts w:hint="eastAsia" w:asciiTheme="minorEastAsia" w:hAnsiTheme="minorEastAsia" w:eastAsiaTheme="minorEastAsia"/>
                      <w:color w:val="auto"/>
                      <w:sz w:val="21"/>
                      <w:szCs w:val="21"/>
                      <w:lang w:eastAsia="zh-CN"/>
                    </w:rPr>
                    <w:t>，</w:t>
                  </w:r>
                </w:p>
              </w:tc>
              <w:tc>
                <w:tcPr>
                  <w:tcW w:w="2935" w:type="dxa"/>
                  <w:shd w:val="clear" w:color="auto" w:fill="auto"/>
                  <w:vAlign w:val="center"/>
                </w:tcPr>
                <w:p>
                  <w:pPr>
                    <w:widowControl/>
                    <w:jc w:val="lef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履约数量/</w:t>
                  </w:r>
                  <w:r>
                    <w:rPr>
                      <w:rFonts w:hint="eastAsia" w:asciiTheme="minorEastAsia" w:hAnsiTheme="minorEastAsia" w:eastAsiaTheme="minorEastAsia"/>
                      <w:color w:val="auto"/>
                      <w:sz w:val="21"/>
                      <w:szCs w:val="21"/>
                      <w:highlight w:val="none"/>
                      <w:lang w:val="en-US" w:eastAsia="zh-CN"/>
                    </w:rPr>
                    <w:t>签订合同</w:t>
                  </w:r>
                  <w:r>
                    <w:rPr>
                      <w:rFonts w:hint="eastAsia" w:asciiTheme="minorEastAsia" w:hAnsiTheme="minorEastAsia" w:eastAsiaTheme="minorEastAsia"/>
                      <w:color w:val="auto"/>
                      <w:sz w:val="21"/>
                      <w:szCs w:val="21"/>
                      <w:highlight w:val="none"/>
                    </w:rPr>
                    <w:t>总数*100%</w:t>
                  </w:r>
                </w:p>
              </w:tc>
              <w:tc>
                <w:tcPr>
                  <w:tcW w:w="1353"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themeColor="text1"/>
                      <w:kern w:val="0"/>
                      <w:highlight w:val="none"/>
                      <w:lang w:val="en-US" w:eastAsia="zh-CN"/>
                    </w:rPr>
                    <w:t>经营部</w:t>
                  </w:r>
                </w:p>
              </w:tc>
              <w:tc>
                <w:tcPr>
                  <w:tcW w:w="1682" w:type="dxa"/>
                  <w:shd w:val="clear" w:color="auto" w:fill="auto"/>
                  <w:vAlign w:val="center"/>
                </w:tcPr>
                <w:p>
                  <w:pPr>
                    <w:widowControl/>
                    <w:jc w:val="left"/>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宋体" w:hAnsi="宋体" w:cs="宋体"/>
                <w:color w:val="000000" w:themeColor="text1"/>
                <w:szCs w:val="21"/>
              </w:rPr>
            </w:pPr>
            <w:r>
              <w:rPr>
                <w:rFonts w:hint="eastAsia" w:ascii="宋体" w:hAnsi="宋体" w:cs="宋体"/>
                <w:szCs w:val="21"/>
                <w:lang w:val="en-US" w:eastAsia="zh-CN"/>
              </w:rPr>
              <w:t>办公场所</w:t>
            </w:r>
            <w:r>
              <w:rPr>
                <w:rFonts w:hint="eastAsia" w:ascii="宋体" w:hAnsi="宋体" w:cs="宋体"/>
                <w:szCs w:val="21"/>
              </w:rPr>
              <w:t>共</w:t>
            </w:r>
            <w:r>
              <w:rPr>
                <w:rFonts w:hint="eastAsia" w:ascii="宋体" w:hAnsi="宋体" w:cs="宋体"/>
                <w:szCs w:val="21"/>
                <w:highlight w:val="none"/>
              </w:rPr>
              <w:t>约</w:t>
            </w:r>
            <w:r>
              <w:rPr>
                <w:rFonts w:hint="eastAsia" w:ascii="宋体" w:hAnsi="宋体" w:cs="宋体"/>
                <w:szCs w:val="21"/>
                <w:highlight w:val="none"/>
                <w:lang w:val="en-US" w:eastAsia="zh-CN"/>
              </w:rPr>
              <w:t>900</w:t>
            </w:r>
            <w:r>
              <w:rPr>
                <w:rFonts w:hint="eastAsia" w:ascii="宋体" w:hAnsi="宋体" w:cs="宋体"/>
                <w:color w:val="000000" w:themeColor="text1"/>
                <w:szCs w:val="21"/>
                <w:highlight w:val="none"/>
              </w:rPr>
              <w:t>平方米。</w:t>
            </w:r>
          </w:p>
          <w:p>
            <w:pPr>
              <w:shd w:val="clear" w:color="auto" w:fill="C7DAF1" w:themeFill="text2" w:themeFillTint="32"/>
              <w:rPr>
                <w:rFonts w:hint="eastAsia" w:ascii="Times New Roman" w:hAnsi="Times New Roman" w:eastAsia="宋体" w:cs="Times New Roman"/>
                <w:color w:val="000000" w:themeColor="text1"/>
                <w:u w:val="single"/>
                <w:lang w:eastAsia="zh-CN"/>
              </w:rPr>
            </w:pPr>
            <w:r>
              <w:rPr>
                <w:rFonts w:hint="eastAsia"/>
              </w:rPr>
              <w:t>主要生产设备有</w:t>
            </w:r>
            <w:r>
              <w:rPr>
                <w:rFonts w:hint="eastAsia" w:ascii="Times New Roman" w:hAnsi="Times New Roman" w:eastAsia="宋体" w:cs="Times New Roman"/>
              </w:rPr>
              <w:t>：</w:t>
            </w:r>
            <w:r>
              <w:rPr>
                <w:rFonts w:hint="eastAsia" w:cs="Times New Roman"/>
                <w:u w:val="single"/>
                <w:lang w:eastAsia="zh-CN"/>
              </w:rPr>
              <w:t>钢筋弯曲机、钢筋切断机、埋弧压力焊机、交流电焊机、卷扬机、砂浆搅拌机、打药机、修剪机、割草机、打药车</w:t>
            </w:r>
          </w:p>
          <w:p>
            <w:pPr>
              <w:shd w:val="clear" w:color="auto" w:fill="C7DAF1" w:themeFill="text2" w:themeFillTint="32"/>
              <w:rPr>
                <w:rFonts w:hint="eastAsia" w:ascii="宋体" w:hAnsi="宋体" w:eastAsia="宋体"/>
                <w:color w:val="000000" w:themeColor="text1"/>
                <w:szCs w:val="21"/>
                <w:u w:val="single"/>
                <w:lang w:eastAsia="zh-CN"/>
              </w:rPr>
            </w:pPr>
            <w:r>
              <w:rPr>
                <w:rFonts w:hint="eastAsia"/>
                <w:color w:val="000000" w:themeColor="text1"/>
              </w:rPr>
              <w:t>特种设备：</w:t>
            </w:r>
            <w:r>
              <w:rPr>
                <w:rFonts w:hint="eastAsia" w:ascii="宋体" w:hAnsi="宋体" w:cs="宋体"/>
                <w:color w:val="000000" w:themeColor="text1"/>
                <w:szCs w:val="21"/>
                <w:u w:val="single"/>
                <w:lang w:eastAsia="zh-CN"/>
              </w:rPr>
              <w:t>无</w:t>
            </w:r>
          </w:p>
          <w:p>
            <w:pPr>
              <w:shd w:val="clear" w:color="auto" w:fill="C7DAF1" w:themeFill="text2" w:themeFillTint="32"/>
              <w:rPr>
                <w:color w:val="000000" w:themeColor="text1"/>
                <w:u w:val="single"/>
              </w:rPr>
            </w:pPr>
            <w:r>
              <w:rPr>
                <w:rFonts w:hint="eastAsia"/>
                <w:color w:val="000000" w:themeColor="text1"/>
              </w:rPr>
              <w:t>特种设备管理：□进行了定期检验□未进行定期检验的有：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计量器具的</w:t>
            </w:r>
            <w:r>
              <w:t>测量溯源</w:t>
            </w:r>
            <w:r>
              <w:rPr>
                <w:rFonts w:hint="eastAsia"/>
              </w:rPr>
              <w:t>方法：</w:t>
            </w:r>
            <w:r>
              <w:rPr>
                <w:rFonts w:hint="eastAsia"/>
                <w:highlight w:val="none"/>
              </w:rPr>
              <w:t xml:space="preserve">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外校</w:t>
            </w:r>
          </w:p>
          <w:p>
            <w:pPr>
              <w:shd w:val="clear" w:color="auto" w:fill="C7DAF1" w:themeFill="text2" w:themeFillTint="32"/>
              <w:rPr>
                <w:color w:val="000000" w:themeColor="text1"/>
                <w:highlight w:val="none"/>
                <w:u w:val="single"/>
              </w:rPr>
            </w:pPr>
            <w:r>
              <w:rPr>
                <w:rFonts w:hint="eastAsia"/>
              </w:rPr>
              <w:t>国家强检的计量器具有：</w:t>
            </w:r>
            <w:r>
              <w:rPr>
                <w:rFonts w:hint="eastAsia"/>
                <w:color w:val="000000" w:themeColor="text1"/>
                <w:lang w:eastAsia="zh-CN"/>
              </w:rPr>
              <w:t>水准仪</w:t>
            </w:r>
            <w:r>
              <w:rPr>
                <w:rFonts w:hint="eastAsia" w:ascii="宋体" w:hAnsi="宋体" w:cs="宋体"/>
                <w:color w:val="000000" w:themeColor="text1"/>
                <w:szCs w:val="21"/>
                <w:highlight w:val="none"/>
              </w:rPr>
              <w:t>。</w:t>
            </w:r>
          </w:p>
          <w:p>
            <w:pPr>
              <w:shd w:val="clear" w:color="auto" w:fill="C7DAF1" w:themeFill="text2" w:themeFillTint="32"/>
              <w:rPr>
                <w:u w:val="single"/>
              </w:rPr>
            </w:pPr>
            <w:r>
              <w:rPr>
                <w:rFonts w:hint="eastAsia"/>
                <w:color w:val="000000" w:themeColor="text1"/>
                <w:highlight w:val="none"/>
              </w:rPr>
              <w:t>计量器具管理：</w:t>
            </w:r>
            <w:r>
              <w:rPr>
                <w:rFonts w:hint="eastAsia" w:ascii="宋体" w:hAnsi="宋体" w:eastAsia="宋体" w:cs="宋体"/>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Wingdings" w:hAnsi="Wingdings"/>
                <w:highlight w:val="none"/>
                <w:lang w:eastAsia="zh-CN"/>
              </w:rPr>
              <w:t>□</w:t>
            </w:r>
            <w:r>
              <w:rPr>
                <w:rFonts w:hint="eastAsia"/>
                <w:highlight w:val="none"/>
              </w:rPr>
              <w:t>未进行定期校准/检定的有</w:t>
            </w:r>
            <w:r>
              <w:rPr>
                <w:rFonts w:hint="eastAsia"/>
                <w:highlight w:val="none"/>
                <w:lang w:eastAsia="zh-CN"/>
              </w:rPr>
              <w:t>：</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color w:val="000000" w:themeColor="text1"/>
                <w:highlight w:val="none"/>
                <w:lang w:eastAsia="zh-CN"/>
              </w:rPr>
              <w:t>■</w:t>
            </w:r>
            <w:r>
              <w:rPr>
                <w:rFonts w:hint="eastAsia"/>
                <w:color w:val="000000" w:themeColor="text1"/>
                <w:highlight w:val="none"/>
              </w:rPr>
              <w:t xml:space="preserve">电工 </w:t>
            </w:r>
            <w:r>
              <w:rPr>
                <w:rFonts w:hint="eastAsia" w:ascii="Wingdings" w:hAnsi="Wingdings"/>
                <w:color w:val="000000" w:themeColor="text1"/>
                <w:highlight w:val="none"/>
                <w:lang w:eastAsia="zh-CN"/>
              </w:rPr>
              <w:t>■</w:t>
            </w:r>
            <w:r>
              <w:rPr>
                <w:rFonts w:hint="eastAsia"/>
                <w:color w:val="000000" w:themeColor="text1"/>
                <w:highlight w:val="none"/>
              </w:rPr>
              <w:t xml:space="preserve">焊工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eastAsia="zh-CN"/>
              </w:rPr>
              <w:t>不适用</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pPr>
                  <w:r>
                    <w:rPr>
                      <w:sz w:val="20"/>
                    </w:rPr>
                    <w:t>园林绿化工程施工；园林绿化综合性养护管理</w:t>
                  </w:r>
                </w:p>
              </w:tc>
              <w:tc>
                <w:tcPr>
                  <w:tcW w:w="2259" w:type="dxa"/>
                </w:tcPr>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关键过程：</w:t>
                  </w:r>
                  <w:r>
                    <w:rPr>
                      <w:rFonts w:hint="eastAsia" w:cs="Times New Roman"/>
                      <w:sz w:val="21"/>
                      <w:szCs w:val="21"/>
                      <w:highlight w:val="none"/>
                      <w:lang w:val="en-US" w:eastAsia="zh-CN"/>
                    </w:rPr>
                    <w:t>施工过程、绿化养护服务过程</w:t>
                  </w:r>
                </w:p>
                <w:p>
                  <w:pPr>
                    <w:rPr>
                      <w:rFonts w:hint="eastAsia" w:ascii="Times New Roman" w:hAnsi="Times New Roman" w:eastAsia="宋体" w:cs="Times New Roman"/>
                      <w:sz w:val="21"/>
                      <w:szCs w:val="21"/>
                      <w:highlight w:val="none"/>
                      <w:lang w:eastAsia="zh-CN"/>
                    </w:rPr>
                  </w:pPr>
                </w:p>
              </w:tc>
              <w:tc>
                <w:tcPr>
                  <w:tcW w:w="3640" w:type="dxa"/>
                </w:tcPr>
                <w:p>
                  <w:pPr>
                    <w:rPr>
                      <w:rFonts w:hint="default" w:ascii="Times New Roman" w:hAnsi="Times New Roman" w:eastAsia="宋体" w:cs="Times New Roman"/>
                      <w:sz w:val="21"/>
                      <w:szCs w:val="21"/>
                      <w:highlight w:val="none"/>
                      <w:lang w:val="en-US" w:eastAsia="zh-CN"/>
                    </w:rPr>
                  </w:pPr>
                  <w:r>
                    <w:rPr>
                      <w:rFonts w:hint="eastAsia" w:cs="Times New Roman"/>
                      <w:color w:val="auto"/>
                      <w:sz w:val="21"/>
                      <w:szCs w:val="21"/>
                      <w:highlight w:val="none"/>
                      <w:lang w:val="en-US" w:eastAsia="zh-CN"/>
                    </w:rPr>
                    <w:t>栽种位置、服务及时率、</w:t>
                  </w:r>
                  <w:r>
                    <w:rPr>
                      <w:rFonts w:hint="eastAsia" w:eastAsia="宋体" w:cs="Times New Roman"/>
                      <w:b w:val="0"/>
                      <w:bCs/>
                      <w:color w:val="auto"/>
                      <w:sz w:val="21"/>
                      <w:szCs w:val="21"/>
                      <w:highlight w:val="none"/>
                      <w:lang w:val="en-US" w:eastAsia="zh-CN"/>
                    </w:rPr>
                    <w:t>无枯枝败叶</w:t>
                  </w:r>
                  <w:r>
                    <w:rPr>
                      <w:rFonts w:hint="eastAsia" w:cs="Times New Roman"/>
                      <w:b w:val="0"/>
                      <w:bCs/>
                      <w:color w:val="auto"/>
                      <w:sz w:val="21"/>
                      <w:szCs w:val="21"/>
                      <w:highlight w:val="none"/>
                      <w:lang w:val="en-US" w:eastAsia="zh-CN"/>
                    </w:rPr>
                    <w:t>病虫害</w:t>
                  </w:r>
                  <w:r>
                    <w:rPr>
                      <w:rFonts w:hint="eastAsia" w:ascii="Times New Roman" w:hAnsi="Times New Roman" w:eastAsia="宋体" w:cs="Times New Roman"/>
                      <w:b w:val="0"/>
                      <w:bCs/>
                      <w:color w:val="auto"/>
                      <w:sz w:val="21"/>
                      <w:szCs w:val="21"/>
                      <w:highlight w:val="none"/>
                      <w:lang w:eastAsia="zh-CN"/>
                    </w:rPr>
                    <w:t>、苗木成活率</w:t>
                  </w:r>
                  <w:r>
                    <w:rPr>
                      <w:rFonts w:hint="eastAsia" w:eastAsia="宋体" w:cs="Times New Roman"/>
                      <w:b w:val="0"/>
                      <w:bCs/>
                      <w:color w:val="auto"/>
                      <w:sz w:val="21"/>
                      <w:szCs w:val="21"/>
                      <w:highlight w:val="none"/>
                      <w:lang w:eastAsia="zh-CN"/>
                    </w:rPr>
                    <w:t>、</w:t>
                  </w:r>
                  <w:r>
                    <w:rPr>
                      <w:rFonts w:hint="eastAsia" w:eastAsia="宋体" w:cs="Times New Roman"/>
                      <w:b w:val="0"/>
                      <w:bCs/>
                      <w:color w:val="auto"/>
                      <w:sz w:val="21"/>
                      <w:szCs w:val="21"/>
                      <w:highlight w:val="none"/>
                      <w:lang w:val="en-US" w:eastAsia="zh-CN"/>
                    </w:rPr>
                    <w:t>养护频次等</w:t>
                  </w:r>
                </w:p>
                <w:p>
                  <w:pPr>
                    <w:rPr>
                      <w:rFonts w:hint="eastAsia" w:ascii="Times New Roman" w:hAnsi="Times New Roman" w:eastAsia="宋体" w:cs="Times New Roman"/>
                      <w:sz w:val="21"/>
                      <w:szCs w:val="21"/>
                      <w:highlight w:val="none"/>
                      <w:lang w:eastAsia="zh-CN"/>
                    </w:rPr>
                  </w:pPr>
                </w:p>
              </w:tc>
            </w:tr>
          </w:tbl>
          <w:p>
            <w:pPr>
              <w:shd w:val="clear" w:color="auto" w:fill="C7DAF1" w:themeFill="text2" w:themeFillTint="32"/>
              <w:jc w:val="left"/>
            </w:pPr>
          </w:p>
          <w:p>
            <w:pPr>
              <w:rPr>
                <w:rFonts w:hint="default"/>
                <w:color w:val="000000" w:themeColor="text1"/>
                <w:highlight w:val="none"/>
                <w:lang w:val="en-US"/>
              </w:rPr>
            </w:pPr>
            <w:r>
              <w:rPr>
                <w:rFonts w:hint="eastAsia"/>
                <w:highlight w:val="none"/>
              </w:rPr>
              <w:t>需要确认的过程：</w:t>
            </w:r>
            <w:r>
              <w:rPr>
                <w:rFonts w:hint="eastAsia" w:ascii="Times New Roman" w:hAnsi="Times New Roman" w:eastAsia="宋体" w:cs="Times New Roman"/>
                <w:sz w:val="21"/>
                <w:szCs w:val="21"/>
                <w:lang w:eastAsia="zh-CN"/>
              </w:rPr>
              <w:t>隐蔽工程、绿化养护服务过程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Wingdings" w:hAnsi="Wingdings"/>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w:t>
            </w:r>
            <w:r>
              <w:rPr>
                <w:rFonts w:hint="eastAsia"/>
                <w:highlight w:val="none"/>
              </w:rPr>
              <w:t>其</w:t>
            </w:r>
            <w:r>
              <w:rPr>
                <w:rFonts w:hint="eastAsia"/>
                <w:highlight w:val="none"/>
                <w:lang w:val="en-US" w:eastAsia="zh-CN"/>
              </w:rPr>
              <w:t>他：补栽</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lang w:eastAsia="zh-CN"/>
              </w:rPr>
              <w:t>2021年10月8日至9日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项不符合在本次审核前已完成整改。在公司内完成的这些审核是可信的。</w:t>
            </w:r>
          </w:p>
          <w:p>
            <w:pPr>
              <w:pStyle w:val="14"/>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2021年10月30日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lang w:eastAsia="zh-CN"/>
              </w:rPr>
              <w:t>□外审不符合项</w:t>
            </w:r>
            <w:r>
              <w:rPr>
                <w:rFonts w:hint="eastAsia"/>
              </w:rPr>
              <w:t xml:space="preserve">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none"/>
        </w:rPr>
      </w:pPr>
    </w:p>
    <w:p>
      <w:pPr>
        <w:shd w:val="clear" w:color="auto" w:fill="C7DAF1" w:themeFill="text2" w:themeFillTint="32"/>
        <w:rPr>
          <w:highlight w:val="none"/>
        </w:rPr>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创新实干、持续改进；提升管理、遵纪守法；减少污染、安全生产</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yellow"/>
                      <w:lang w:val="en-US" w:eastAsia="zh-CN"/>
                    </w:rPr>
                  </w:pPr>
                  <w:r>
                    <w:rPr>
                      <w:rFonts w:hint="eastAsia" w:cs="Times New Roman" w:asciiTheme="minorEastAsia" w:hAnsiTheme="minorEastAsia" w:eastAsiaTheme="minorEastAsia"/>
                      <w:b w:val="0"/>
                      <w:bCs w:val="0"/>
                      <w:sz w:val="21"/>
                      <w:szCs w:val="21"/>
                      <w:highlight w:val="yellow"/>
                    </w:rPr>
                    <w:t>潜在火灾</w:t>
                  </w:r>
                </w:p>
              </w:tc>
              <w:tc>
                <w:tcPr>
                  <w:tcW w:w="4438" w:type="dxa"/>
                </w:tcPr>
                <w:p>
                  <w:pPr>
                    <w:shd w:val="clear" w:color="auto" w:fill="EBF1DE" w:themeFill="accent3" w:themeFillTint="32"/>
                    <w:rPr>
                      <w:highlight w:val="yellow"/>
                    </w:rPr>
                  </w:pPr>
                  <w:r>
                    <w:rPr>
                      <w:rFonts w:hint="eastAsia" w:asciiTheme="minorEastAsia" w:hAnsiTheme="minorEastAsia" w:eastAsiaTheme="minorEastAsia"/>
                      <w:b w:val="0"/>
                      <w:bCs w:val="0"/>
                      <w:sz w:val="21"/>
                      <w:szCs w:val="21"/>
                      <w:highlight w:val="yellow"/>
                      <w:lang w:val="en-US" w:eastAsia="zh-CN"/>
                    </w:rPr>
                    <w:t>通过</w:t>
                  </w:r>
                  <w:r>
                    <w:rPr>
                      <w:rFonts w:hint="eastAsia" w:asciiTheme="minorEastAsia" w:hAnsiTheme="minorEastAsia" w:eastAsiaTheme="minorEastAsia"/>
                      <w:b w:val="0"/>
                      <w:bCs w:val="0"/>
                      <w:sz w:val="21"/>
                      <w:szCs w:val="21"/>
                      <w:highlight w:val="yellow"/>
                    </w:rPr>
                    <w:t>管理方案和预案措施</w:t>
                  </w:r>
                  <w:r>
                    <w:rPr>
                      <w:rFonts w:hint="eastAsia" w:asciiTheme="minorEastAsia" w:hAnsiTheme="minorEastAsia" w:eastAsiaTheme="minorEastAsia"/>
                      <w:b w:val="0"/>
                      <w:bCs w:val="0"/>
                      <w:sz w:val="21"/>
                      <w:szCs w:val="21"/>
                      <w:highlight w:val="yellow"/>
                      <w:lang w:eastAsia="zh-CN"/>
                    </w:rPr>
                    <w:t>、</w:t>
                  </w:r>
                  <w:r>
                    <w:rPr>
                      <w:rFonts w:hint="eastAsia" w:asciiTheme="minorEastAsia" w:hAnsiTheme="minorEastAsia" w:eastAsiaTheme="minorEastAsia"/>
                      <w:b w:val="0"/>
                      <w:bCs w:val="0"/>
                      <w:sz w:val="21"/>
                      <w:szCs w:val="21"/>
                      <w:highlight w:val="yellow"/>
                      <w:lang w:val="en-US" w:eastAsia="zh-CN"/>
                    </w:rPr>
                    <w:t>应急演练进行</w:t>
                  </w:r>
                  <w:r>
                    <w:rPr>
                      <w:rFonts w:hint="eastAsia" w:asciiTheme="minorEastAsia" w:hAnsiTheme="minorEastAsia" w:eastAsiaTheme="minorEastAsia"/>
                      <w:b w:val="0"/>
                      <w:bCs w:val="0"/>
                      <w:sz w:val="21"/>
                      <w:szCs w:val="21"/>
                      <w:highlight w:val="yellow"/>
                    </w:rPr>
                    <w:t>管理</w:t>
                  </w:r>
                </w:p>
              </w:tc>
              <w:tc>
                <w:tcPr>
                  <w:tcW w:w="1717" w:type="dxa"/>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yellow"/>
                      <w:lang w:val="en-US" w:eastAsia="zh-CN"/>
                    </w:rPr>
                  </w:pPr>
                  <w:r>
                    <w:rPr>
                      <w:rFonts w:hint="eastAsia" w:cs="Times New Roman" w:asciiTheme="minorEastAsia" w:hAnsiTheme="minorEastAsia" w:eastAsiaTheme="minorEastAsia"/>
                      <w:b w:val="0"/>
                      <w:bCs w:val="0"/>
                      <w:sz w:val="21"/>
                      <w:szCs w:val="21"/>
                      <w:highlight w:val="yellow"/>
                    </w:rPr>
                    <w:t>固废排放</w:t>
                  </w:r>
                </w:p>
              </w:tc>
              <w:tc>
                <w:tcPr>
                  <w:tcW w:w="4438" w:type="dxa"/>
                </w:tcPr>
                <w:p>
                  <w:pPr>
                    <w:shd w:val="clear" w:color="auto" w:fill="EBF1DE" w:themeFill="accent3" w:themeFillTint="32"/>
                    <w:rPr>
                      <w:highlight w:val="yellow"/>
                    </w:rPr>
                  </w:pPr>
                  <w:r>
                    <w:rPr>
                      <w:rFonts w:hint="eastAsia" w:asciiTheme="minorEastAsia" w:hAnsiTheme="minorEastAsia" w:eastAsiaTheme="minorEastAsia"/>
                      <w:b w:val="0"/>
                      <w:bCs w:val="0"/>
                      <w:sz w:val="21"/>
                      <w:szCs w:val="21"/>
                      <w:highlight w:val="yellow"/>
                    </w:rPr>
                    <w:t>采取分类收集、管理方案</w:t>
                  </w:r>
                  <w:r>
                    <w:rPr>
                      <w:rFonts w:hint="eastAsia" w:asciiTheme="minorEastAsia" w:hAnsiTheme="minorEastAsia" w:eastAsiaTheme="minorEastAsia"/>
                      <w:b w:val="0"/>
                      <w:bCs w:val="0"/>
                      <w:sz w:val="21"/>
                      <w:szCs w:val="21"/>
                      <w:highlight w:val="yellow"/>
                      <w:lang w:val="en-US" w:eastAsia="zh-CN"/>
                    </w:rPr>
                    <w:t>进行</w:t>
                  </w:r>
                  <w:r>
                    <w:rPr>
                      <w:rFonts w:hint="eastAsia" w:asciiTheme="minorEastAsia" w:hAnsiTheme="minorEastAsia" w:eastAsiaTheme="minorEastAsia"/>
                      <w:b w:val="0"/>
                      <w:bCs w:val="0"/>
                      <w:sz w:val="21"/>
                      <w:szCs w:val="21"/>
                      <w:highlight w:val="yellow"/>
                    </w:rPr>
                    <w:t>管理</w:t>
                  </w:r>
                </w:p>
              </w:tc>
              <w:tc>
                <w:tcPr>
                  <w:tcW w:w="1717" w:type="dxa"/>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yellow"/>
                      <w:lang w:val="en-US" w:eastAsia="zh-CN"/>
                    </w:rPr>
                  </w:pPr>
                  <w:r>
                    <w:rPr>
                      <w:rFonts w:hint="default" w:cs="Times New Roman" w:asciiTheme="minorEastAsia" w:hAnsiTheme="minorEastAsia" w:eastAsiaTheme="minorEastAsia"/>
                      <w:b w:val="0"/>
                      <w:bCs w:val="0"/>
                      <w:sz w:val="21"/>
                      <w:szCs w:val="21"/>
                      <w:highlight w:val="yellow"/>
                      <w:lang w:val="en-US" w:eastAsia="zh-CN"/>
                    </w:rPr>
                    <w:t>噪声</w:t>
                  </w:r>
                  <w:r>
                    <w:rPr>
                      <w:rFonts w:hint="eastAsia" w:cs="Times New Roman" w:asciiTheme="minorEastAsia" w:hAnsiTheme="minorEastAsia" w:eastAsiaTheme="minorEastAsia"/>
                      <w:b w:val="0"/>
                      <w:bCs w:val="0"/>
                      <w:sz w:val="21"/>
                      <w:szCs w:val="21"/>
                      <w:highlight w:val="yellow"/>
                      <w:lang w:val="en-US" w:eastAsia="zh-CN"/>
                    </w:rPr>
                    <w:t>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highlight w:val="yellow"/>
                      <w:lang w:val="en-US" w:eastAsia="zh-CN"/>
                    </w:rPr>
                    <w:t>通过</w:t>
                  </w:r>
                  <w:r>
                    <w:rPr>
                      <w:rFonts w:hint="eastAsia" w:asciiTheme="minorEastAsia" w:hAnsiTheme="minorEastAsia" w:eastAsiaTheme="minorEastAsia"/>
                      <w:b w:val="0"/>
                      <w:bCs w:val="0"/>
                      <w:sz w:val="21"/>
                      <w:szCs w:val="21"/>
                      <w:highlight w:val="yellow"/>
                    </w:rPr>
                    <w:t>管理方案</w:t>
                  </w:r>
                  <w:r>
                    <w:rPr>
                      <w:rFonts w:hint="eastAsia" w:asciiTheme="minorEastAsia" w:hAnsiTheme="minorEastAsia" w:eastAsiaTheme="minorEastAsia"/>
                      <w:b w:val="0"/>
                      <w:bCs w:val="0"/>
                      <w:sz w:val="21"/>
                      <w:szCs w:val="21"/>
                      <w:highlight w:val="yellow"/>
                      <w:lang w:val="en-US" w:eastAsia="zh-CN"/>
                    </w:rPr>
                    <w:t>进行</w:t>
                  </w:r>
                  <w:r>
                    <w:rPr>
                      <w:rFonts w:hint="eastAsia" w:asciiTheme="minorEastAsia" w:hAnsiTheme="minorEastAsia" w:eastAsiaTheme="minorEastAsia"/>
                      <w:b w:val="0"/>
                      <w:bCs w:val="0"/>
                      <w:sz w:val="21"/>
                      <w:szCs w:val="21"/>
                      <w:highlight w:val="yellow"/>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yellow"/>
                      <w:lang w:val="en-US" w:eastAsia="zh-CN" w:bidi="ar-SA"/>
                    </w:rPr>
                  </w:pPr>
                  <w:r>
                    <w:rPr>
                      <w:rFonts w:hint="eastAsia"/>
                      <w:highlight w:val="yellow"/>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yellow"/>
                      <w:lang w:val="en-US" w:eastAsia="zh-CN"/>
                    </w:rPr>
                  </w:pPr>
                  <w:r>
                    <w:rPr>
                      <w:rFonts w:hint="default" w:cs="Times New Roman" w:asciiTheme="minorEastAsia" w:hAnsiTheme="minorEastAsia" w:eastAsiaTheme="minorEastAsia"/>
                      <w:b w:val="0"/>
                      <w:bCs w:val="0"/>
                      <w:sz w:val="21"/>
                      <w:szCs w:val="21"/>
                      <w:highlight w:val="yellow"/>
                      <w:lang w:val="en-US" w:eastAsia="zh-CN"/>
                    </w:rPr>
                    <w:t>粉尘</w:t>
                  </w:r>
                  <w:r>
                    <w:rPr>
                      <w:rFonts w:hint="eastAsia" w:cs="Times New Roman" w:asciiTheme="minorEastAsia" w:hAnsiTheme="minorEastAsia" w:eastAsiaTheme="minorEastAsia"/>
                      <w:b w:val="0"/>
                      <w:bCs w:val="0"/>
                      <w:sz w:val="21"/>
                      <w:szCs w:val="21"/>
                      <w:highlight w:val="yellow"/>
                      <w:lang w:val="en-US" w:eastAsia="zh-CN"/>
                    </w:rPr>
                    <w:t>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highlight w:val="yellow"/>
                      <w:lang w:val="en-US" w:eastAsia="zh-CN"/>
                    </w:rPr>
                    <w:t>通过</w:t>
                  </w:r>
                  <w:r>
                    <w:rPr>
                      <w:rFonts w:hint="eastAsia" w:asciiTheme="minorEastAsia" w:hAnsiTheme="minorEastAsia" w:eastAsiaTheme="minorEastAsia"/>
                      <w:b w:val="0"/>
                      <w:bCs w:val="0"/>
                      <w:sz w:val="21"/>
                      <w:szCs w:val="21"/>
                      <w:highlight w:val="yellow"/>
                    </w:rPr>
                    <w:t>管理方案</w:t>
                  </w:r>
                  <w:r>
                    <w:rPr>
                      <w:rFonts w:hint="eastAsia" w:asciiTheme="minorEastAsia" w:hAnsiTheme="minorEastAsia" w:eastAsiaTheme="minorEastAsia"/>
                      <w:b w:val="0"/>
                      <w:bCs w:val="0"/>
                      <w:sz w:val="21"/>
                      <w:szCs w:val="21"/>
                      <w:highlight w:val="yellow"/>
                      <w:lang w:val="en-US" w:eastAsia="zh-CN"/>
                    </w:rPr>
                    <w:t>进行</w:t>
                  </w:r>
                  <w:r>
                    <w:rPr>
                      <w:rFonts w:hint="eastAsia" w:asciiTheme="minorEastAsia" w:hAnsiTheme="minorEastAsia" w:eastAsiaTheme="minorEastAsia"/>
                      <w:b w:val="0"/>
                      <w:bCs w:val="0"/>
                      <w:sz w:val="21"/>
                      <w:szCs w:val="21"/>
                      <w:highlight w:val="yellow"/>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yellow"/>
                      <w:lang w:val="en-US" w:eastAsia="zh-CN" w:bidi="ar-SA"/>
                    </w:rPr>
                  </w:pPr>
                  <w:r>
                    <w:rPr>
                      <w:rFonts w:hint="eastAsia"/>
                      <w:highlight w:val="yellow"/>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yellow"/>
                      <w:lang w:val="en-US" w:eastAsia="zh-CN"/>
                    </w:rPr>
                  </w:pPr>
                  <w:r>
                    <w:rPr>
                      <w:rFonts w:hint="default" w:cs="Times New Roman" w:asciiTheme="minorEastAsia" w:hAnsiTheme="minorEastAsia" w:eastAsiaTheme="minorEastAsia"/>
                      <w:b w:val="0"/>
                      <w:bCs w:val="0"/>
                      <w:sz w:val="21"/>
                      <w:szCs w:val="21"/>
                      <w:highlight w:val="yellow"/>
                      <w:lang w:val="en-US" w:eastAsia="zh-CN"/>
                    </w:rPr>
                    <w:t>农药等泄漏</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highlight w:val="yellow"/>
                      <w:lang w:val="en-US" w:eastAsia="zh-CN"/>
                    </w:rPr>
                    <w:t>通过</w:t>
                  </w:r>
                  <w:r>
                    <w:rPr>
                      <w:rFonts w:hint="eastAsia" w:asciiTheme="minorEastAsia" w:hAnsiTheme="minorEastAsia" w:eastAsiaTheme="minorEastAsia"/>
                      <w:b w:val="0"/>
                      <w:bCs w:val="0"/>
                      <w:sz w:val="21"/>
                      <w:szCs w:val="21"/>
                      <w:highlight w:val="yellow"/>
                    </w:rPr>
                    <w:t>管理方案</w:t>
                  </w:r>
                  <w:r>
                    <w:rPr>
                      <w:rFonts w:hint="eastAsia" w:asciiTheme="minorEastAsia" w:hAnsiTheme="minorEastAsia" w:eastAsiaTheme="minorEastAsia"/>
                      <w:b w:val="0"/>
                      <w:bCs w:val="0"/>
                      <w:sz w:val="21"/>
                      <w:szCs w:val="21"/>
                      <w:highlight w:val="yellow"/>
                      <w:lang w:val="en-US" w:eastAsia="zh-CN"/>
                    </w:rPr>
                    <w:t>进行</w:t>
                  </w:r>
                  <w:r>
                    <w:rPr>
                      <w:rFonts w:hint="eastAsia" w:asciiTheme="minorEastAsia" w:hAnsiTheme="minorEastAsia" w:eastAsiaTheme="minorEastAsia"/>
                      <w:b w:val="0"/>
                      <w:bCs w:val="0"/>
                      <w:sz w:val="21"/>
                      <w:szCs w:val="21"/>
                      <w:highlight w:val="yellow"/>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yellow"/>
                      <w:lang w:val="en-US" w:eastAsia="zh-CN" w:bidi="ar-SA"/>
                    </w:rPr>
                  </w:pPr>
                  <w:r>
                    <w:rPr>
                      <w:rFonts w:hint="eastAsia"/>
                      <w:highlight w:val="yellow"/>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w:t>
            </w:r>
            <w:r>
              <w:rPr>
                <w:rFonts w:hint="eastAsia" w:ascii="宋体" w:hAnsi="宋体" w:eastAsia="宋体" w:cs="宋体"/>
              </w:rPr>
              <w:t>■</w:t>
            </w:r>
            <w:r>
              <w:rPr>
                <w:rFonts w:hint="eastAsia"/>
              </w:rPr>
              <w:t xml:space="preserve">粉尘排放  </w:t>
            </w:r>
            <w:r>
              <w:rPr>
                <w:rFonts w:hint="eastAsia"/>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ascii="Times New Roman" w:hAnsi="Times New Roman" w:cs="Times New Roman"/>
                <w:highlight w:val="none"/>
              </w:rPr>
              <w:t>固废排放</w:t>
            </w:r>
            <w:r>
              <w:rPr>
                <w:rFonts w:hint="eastAsia" w:cs="Times New Roman"/>
                <w:highlight w:val="none"/>
                <w:lang w:eastAsia="zh-CN"/>
              </w:rPr>
              <w:t>、</w:t>
            </w:r>
            <w:r>
              <w:rPr>
                <w:rFonts w:hint="default" w:cs="Times New Roman" w:asciiTheme="minorEastAsia" w:hAnsiTheme="minorEastAsia" w:eastAsiaTheme="minorEastAsia"/>
                <w:b w:val="0"/>
                <w:bCs w:val="0"/>
                <w:sz w:val="21"/>
                <w:szCs w:val="21"/>
                <w:highlight w:val="none"/>
                <w:lang w:val="en-US" w:eastAsia="zh-CN"/>
              </w:rPr>
              <w:t>农药等泄漏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4"/>
                    <w:spacing w:line="240" w:lineRule="auto"/>
                    <w:ind w:firstLine="0" w:firstLineChars="0"/>
                    <w:jc w:val="left"/>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固体废弃物分类收集、统一回收率100%，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4"/>
                    <w:spacing w:line="240" w:lineRule="auto"/>
                    <w:ind w:firstLine="0" w:firstLineChars="0"/>
                    <w:jc w:val="left"/>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火灾发率为零，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4"/>
                    <w:spacing w:line="240" w:lineRule="auto"/>
                    <w:ind w:firstLine="0" w:firstLineChars="0"/>
                    <w:jc w:val="left"/>
                    <w:rPr>
                      <w:rFonts w:hint="default"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环境污染事故为零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办公场所</w:t>
            </w:r>
            <w:r>
              <w:rPr>
                <w:rFonts w:hint="eastAsia" w:ascii="Times New Roman" w:hAnsi="Times New Roman" w:eastAsia="宋体" w:cs="Times New Roman"/>
                <w:highlight w:val="none"/>
              </w:rPr>
              <w:t>共约</w:t>
            </w:r>
            <w:r>
              <w:rPr>
                <w:rFonts w:hint="eastAsia" w:cs="Times New Roman"/>
                <w:highlight w:val="none"/>
                <w:lang w:val="en-US" w:eastAsia="zh-CN"/>
              </w:rPr>
              <w:t>9</w:t>
            </w:r>
            <w:r>
              <w:rPr>
                <w:rFonts w:hint="eastAsia" w:ascii="Times New Roman" w:hAnsi="Times New Roman" w:eastAsia="宋体" w:cs="Times New Roman"/>
                <w:highlight w:val="none"/>
                <w:lang w:val="en-US" w:eastAsia="zh-CN"/>
              </w:rPr>
              <w:t>00</w:t>
            </w:r>
            <w:r>
              <w:rPr>
                <w:rFonts w:hint="eastAsia" w:ascii="Times New Roman" w:hAnsi="Times New Roman" w:eastAsia="宋体" w:cs="Times New Roman"/>
                <w:highlight w:val="none"/>
              </w:rPr>
              <w:t>平方米。</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eastAsia="宋体" w:cs="Times New Roman"/>
                <w:u w:val="single"/>
                <w:lang w:eastAsia="zh-CN"/>
              </w:rPr>
              <w:t>钢筋弯曲机、钢筋切断机、埋弧压力焊机、交流电焊机、卷扬机、砂浆搅拌机、打药机、修剪机、割草机、打药车</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无</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439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pPr>
                    <w:shd w:val="clear" w:color="auto" w:fill="EBF1DE" w:themeFill="accent3" w:themeFillTint="32"/>
                    <w:jc w:val="left"/>
                  </w:pPr>
                  <w:r>
                    <w:rPr>
                      <w:rFonts w:hint="eastAsia"/>
                    </w:rPr>
                    <w:t>重要环境因素</w:t>
                  </w:r>
                </w:p>
              </w:tc>
              <w:tc>
                <w:tcPr>
                  <w:tcW w:w="4394" w:type="dxa"/>
                </w:tcPr>
                <w:p>
                  <w:pPr>
                    <w:shd w:val="clear" w:color="auto" w:fill="EBF1DE" w:themeFill="accent3" w:themeFillTint="32"/>
                    <w:jc w:val="left"/>
                  </w:pPr>
                  <w:r>
                    <w:rPr>
                      <w:rFonts w:hint="eastAsia"/>
                    </w:rPr>
                    <w:t>控制措施</w:t>
                  </w:r>
                </w:p>
              </w:tc>
              <w:tc>
                <w:tcPr>
                  <w:tcW w:w="2636"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潜在火灾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固废排放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default" w:cs="Times New Roman" w:asciiTheme="minorEastAsia" w:hAnsiTheme="minorEastAsia" w:eastAsiaTheme="minorEastAsia"/>
                      <w:b w:val="0"/>
                      <w:bCs w:val="0"/>
                      <w:sz w:val="21"/>
                      <w:szCs w:val="21"/>
                      <w:highlight w:val="none"/>
                      <w:lang w:val="en-US" w:eastAsia="zh-CN"/>
                    </w:rPr>
                    <w:t>噪声</w:t>
                  </w:r>
                  <w:r>
                    <w:rPr>
                      <w:rFonts w:hint="eastAsia" w:cs="Times New Roman" w:asciiTheme="minorEastAsia" w:hAnsiTheme="minorEastAsia" w:eastAsiaTheme="minorEastAsia"/>
                      <w:b w:val="0"/>
                      <w:bCs w:val="0"/>
                      <w:sz w:val="21"/>
                      <w:szCs w:val="21"/>
                      <w:highlight w:val="none"/>
                      <w:lang w:val="en-US" w:eastAsia="zh-CN"/>
                    </w:rPr>
                    <w:t>排放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default" w:cs="Times New Roman" w:asciiTheme="minorEastAsia" w:hAnsiTheme="minorEastAsia" w:eastAsiaTheme="minorEastAsia"/>
                      <w:b w:val="0"/>
                      <w:bCs w:val="0"/>
                      <w:sz w:val="21"/>
                      <w:szCs w:val="21"/>
                      <w:highlight w:val="none"/>
                      <w:lang w:val="en-US" w:eastAsia="zh-CN"/>
                    </w:rPr>
                    <w:t>粉尘</w:t>
                  </w:r>
                  <w:r>
                    <w:rPr>
                      <w:rFonts w:hint="eastAsia" w:cs="Times New Roman" w:asciiTheme="minorEastAsia" w:hAnsiTheme="minorEastAsia" w:eastAsiaTheme="minorEastAsia"/>
                      <w:b w:val="0"/>
                      <w:bCs w:val="0"/>
                      <w:sz w:val="21"/>
                      <w:szCs w:val="21"/>
                      <w:highlight w:val="none"/>
                      <w:lang w:val="en-US" w:eastAsia="zh-CN"/>
                    </w:rPr>
                    <w:t>排放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default" w:cs="Times New Roman" w:asciiTheme="minorEastAsia" w:hAnsiTheme="minorEastAsia" w:eastAsiaTheme="minorEastAsia"/>
                      <w:b w:val="0"/>
                      <w:bCs w:val="0"/>
                      <w:sz w:val="21"/>
                      <w:szCs w:val="21"/>
                      <w:highlight w:val="none"/>
                      <w:lang w:val="en-US" w:eastAsia="zh-CN"/>
                    </w:rPr>
                    <w:t>农药等泄漏</w:t>
                  </w:r>
                </w:p>
              </w:tc>
              <w:tc>
                <w:tcPr>
                  <w:tcW w:w="0" w:type="auto"/>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cs="Times New Roman"/>
                <w:color w:val="000000"/>
                <w:highlight w:val="none"/>
                <w:u w:val="single"/>
                <w:lang w:eastAsia="zh-CN"/>
              </w:rPr>
              <w:t>2021年9月15日在办公区域进行了火灾事故应急预案现场演练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2021年09月5日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2021年10月8日至9日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2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val="en-US" w:eastAsia="zh-CN"/>
              </w:rPr>
              <w:t>2021年10月30日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创新实干、持续改进；提升管理、遵纪守法；减少污染、安全生产。</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罗晓红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触电</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eastAsia" w:ascii="Times New Roman" w:hAnsi="Times New Roman" w:cs="Times New Roman"/>
                      <w:color w:val="000000"/>
                      <w:kern w:val="2"/>
                      <w:sz w:val="21"/>
                      <w:szCs w:val="18"/>
                      <w:highlight w:val="none"/>
                      <w:lang w:val="en-US" w:eastAsia="zh-CN" w:bidi="ar-SA"/>
                    </w:rPr>
                  </w:pPr>
                  <w:r>
                    <w:rPr>
                      <w:rFonts w:hint="eastAsia" w:ascii="Times New Roman" w:hAnsi="Times New Roman" w:cs="Times New Roman"/>
                      <w:color w:val="000000"/>
                      <w:kern w:val="2"/>
                      <w:sz w:val="21"/>
                      <w:szCs w:val="18"/>
                      <w:highlight w:val="none"/>
                      <w:lang w:val="en-US" w:eastAsia="zh-CN" w:bidi="ar-SA"/>
                    </w:rPr>
                    <w:t>机械伤害</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default" w:ascii="Times New Roman" w:hAnsi="Times New Roman"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车辆</w:t>
                  </w:r>
                  <w:r>
                    <w:rPr>
                      <w:rFonts w:hint="eastAsia" w:ascii="Times New Roman" w:hAnsi="Times New Roman" w:cs="Times New Roman"/>
                      <w:color w:val="000000"/>
                      <w:kern w:val="2"/>
                      <w:sz w:val="21"/>
                      <w:szCs w:val="18"/>
                      <w:highlight w:val="none"/>
                      <w:lang w:val="en-US" w:eastAsia="zh-CN" w:bidi="ar-SA"/>
                    </w:rPr>
                    <w:t>伤害</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color w:val="000000"/>
                      <w:szCs w:val="18"/>
                      <w:highlight w:val="none"/>
                      <w:lang w:val="en-US" w:eastAsia="zh-CN"/>
                    </w:rPr>
                  </w:pPr>
                  <w:r>
                    <w:rPr>
                      <w:rFonts w:hint="eastAsia" w:cs="Times New Roman"/>
                      <w:color w:val="000000"/>
                      <w:szCs w:val="18"/>
                      <w:highlight w:val="none"/>
                      <w:lang w:val="en-US" w:eastAsia="zh-CN"/>
                    </w:rPr>
                    <w:t>物体打击</w:t>
                  </w: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r>
                    <w:rPr>
                      <w:rFonts w:hint="eastAsia" w:cs="Times New Roman"/>
                      <w:color w:val="000000"/>
                      <w:szCs w:val="18"/>
                      <w:highlight w:val="none"/>
                      <w:lang w:val="en-US" w:eastAsia="zh-CN"/>
                    </w:rPr>
                    <w:t>中毒</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r>
                    <w:rPr>
                      <w:rFonts w:hint="eastAsia" w:cs="Times New Roman"/>
                      <w:color w:val="000000"/>
                      <w:szCs w:val="18"/>
                      <w:highlight w:val="none"/>
                      <w:lang w:val="en-US" w:eastAsia="zh-CN"/>
                    </w:rPr>
                    <w:t>中暑</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物体打击、中毒、中暑、车辆伤害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bottom"/>
                </w:tcPr>
                <w:p>
                  <w:pPr>
                    <w:pStyle w:val="4"/>
                    <w:spacing w:line="240" w:lineRule="auto"/>
                    <w:ind w:firstLine="0" w:firstLineChars="0"/>
                    <w:jc w:val="left"/>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火灾发率为零，</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4"/>
                    <w:spacing w:line="240" w:lineRule="auto"/>
                    <w:ind w:firstLine="0" w:firstLineChars="0"/>
                    <w:jc w:val="left"/>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杜绝人身死亡事故、重大设备伤害事故，</w:t>
                  </w:r>
                </w:p>
              </w:tc>
              <w:tc>
                <w:tcPr>
                  <w:tcW w:w="3464"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4"/>
                    <w:spacing w:line="240" w:lineRule="auto"/>
                    <w:ind w:firstLine="0" w:firstLineChars="0"/>
                    <w:jc w:val="left"/>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员工工伤率≤3‰</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宋体" w:hAnsi="宋体"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cs="Times New Roman"/>
                      <w:kern w:val="2"/>
                      <w:sz w:val="21"/>
                      <w:szCs w:val="24"/>
                      <w:lang w:val="en-US" w:eastAsia="zh-CN" w:bidi="ar-SA"/>
                    </w:rPr>
                  </w:pP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20"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钢筋弯曲机、钢筋切断机、埋弧压力焊机、交流电焊机、卷扬机、砂浆搅拌机、打药机、修剪机、割草机、打药车</w:t>
            </w:r>
            <w:r>
              <w:rPr>
                <w:rFonts w:hint="eastAsia" w:ascii="Times New Roman" w:hAnsi="Times New Roman" w:cs="Times New Roman"/>
                <w:u w:val="single"/>
                <w:lang w:val="en-US" w:eastAsia="zh-CN"/>
              </w:rPr>
              <w:t>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Times New Roman" w:hAnsi="Times New Roman" w:cs="Times New Roman"/>
                <w:u w:val="single"/>
                <w:lang w:eastAsia="zh-CN"/>
              </w:rPr>
              <w:t>无</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w:t>
            </w:r>
            <w:r>
              <w:rPr>
                <w:rFonts w:hint="eastAsia" w:ascii="Times New Roman" w:hAnsi="Times New Roman" w:cs="Times New Roman"/>
              </w:rPr>
              <w:t xml:space="preserve">电工 </w:t>
            </w:r>
            <w:r>
              <w:rPr>
                <w:rFonts w:hint="eastAsia" w:ascii="Times New Roman" w:hAnsi="Times New Roman" w:cs="Times New Roman"/>
                <w:lang w:eastAsia="zh-CN"/>
              </w:rPr>
              <w:t>■</w:t>
            </w:r>
            <w:r>
              <w:rPr>
                <w:rFonts w:hint="eastAsia" w:ascii="Times New Roman" w:hAnsi="Times New Roman" w:cs="Times New Roman"/>
              </w:rPr>
              <w:t xml:space="preserve">焊工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 xml:space="preserve">□空间隔离  </w:t>
                  </w:r>
                  <w:r>
                    <w:rPr>
                      <w:rFonts w:hint="eastAsia"/>
                      <w:lang w:eastAsia="zh-CN"/>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cs="Times New Roman"/>
                <w:color w:val="000000"/>
                <w:highlight w:val="none"/>
                <w:u w:val="single"/>
                <w:lang w:eastAsia="zh-CN"/>
              </w:rPr>
              <w:t>2021年9月15日在办公区域进行了火灾事故应急预案现场演练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2021年09月5日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2021年10月8日至9日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2021年10月30日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autoSpaceDE w:val="0"/>
        <w:autoSpaceDN w:val="0"/>
        <w:adjustRightInd w:val="0"/>
        <w:snapToGrid w:val="0"/>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34" w:name="_GoBack" w:colFirst="0" w:colLast="10"/>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3</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34"/>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515CA2"/>
    <w:rsid w:val="02F40283"/>
    <w:rsid w:val="1A8405FE"/>
    <w:rsid w:val="24A85EE5"/>
    <w:rsid w:val="5C5F10B5"/>
    <w:rsid w:val="6BF83C94"/>
    <w:rsid w:val="6E69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99"/>
    <w:pPr>
      <w:spacing w:after="120" w:afterLines="0"/>
    </w:pPr>
    <w:rPr>
      <w:kern w:val="2"/>
      <w:sz w:val="21"/>
    </w:rPr>
  </w:style>
  <w:style w:type="paragraph" w:styleId="4">
    <w:name w:val="Body Text Indent"/>
    <w:basedOn w:val="1"/>
    <w:qFormat/>
    <w:uiPriority w:val="0"/>
    <w:pPr>
      <w:spacing w:line="560" w:lineRule="exact"/>
      <w:ind w:firstLine="560" w:firstLineChars="200"/>
    </w:pPr>
    <w:rPr>
      <w:sz w:val="28"/>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2021-11-15T02:45:49Z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