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33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重庆兴宏园林景观绿化工程有限公司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专业小类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bookmarkStart w:id="8" w:name="专业代码"/>
            <w:r>
              <w:rPr>
                <w:rFonts w:ascii="Times New Roman" w:hAnsi="Times New Roman" w:cs="Times New Roman"/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O：35.17.00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4" w:beforeLines="50" w:after="120" w:line="22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3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园林绿化综合养护：合同签订—养护方案拟定—日常养护—养护质量检查。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园林绿化工程施工：合同签订—施工方案拟定—清理场地—场地平整—放线定点—苗木种植—后续维护。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服务过程的风险：不满足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客户质量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要求，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交付期无法履行客户要求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主要质量要求：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栽种位置、植物品种、养护频次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、苗木成活率等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关键控制点：作业规范、顾客投诉。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重要环境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因素：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）火灾；2）固废；3）噪声；4）粉尘；5）农药等泄漏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不可接受风险：火灾、机械伤害、物体打击、触电、中毒、中暑、车辆伤害。制订</w:t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园林绿化养护标准CJJ/T287-2018、重庆市道路绿地养护质量要求DB50/T460-2012、建设工程质量管理条例、工程设计文件、养护方案、施工方案及客户的技术要求。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</w:rPr>
              <w:t>型式试验要求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主要检查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有无枯枝败叶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病虫害</w:t>
            </w:r>
            <w:bookmarkStart w:id="9" w:name="_GoBack"/>
            <w:bookmarkEnd w:id="9"/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、苗木成活率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养护频次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127000</wp:posOffset>
                  </wp:positionV>
                  <wp:extent cx="411480" cy="381000"/>
                  <wp:effectExtent l="0" t="0" r="7620" b="0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170815</wp:posOffset>
                  </wp:positionV>
                  <wp:extent cx="411480" cy="381000"/>
                  <wp:effectExtent l="0" t="0" r="7620" b="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  <w:rPr>
        <w:sz w:val="20"/>
      </w:rPr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B60802"/>
    <w:rsid w:val="35CB3AD6"/>
    <w:rsid w:val="3E5C7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2021-11-15T01:56:05Z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