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河北孚领商品混凝土有限公司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保定市徐水区遂城镇遂城村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保定市徐水区遂城镇遂城村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1171-2021-EnMs</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r>
              <w:rPr>
                <w:rFonts w:hint="eastAsia"/>
                <w:sz w:val="21"/>
                <w:szCs w:val="21"/>
              </w:rPr>
              <w:sym w:font="Wingdings 2" w:char="0052"/>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0" w:name="联系人"/>
            <w:r>
              <w:rPr>
                <w:sz w:val="21"/>
                <w:szCs w:val="21"/>
              </w:rPr>
              <w:t>丁维</w:t>
            </w:r>
            <w:bookmarkEnd w:id="10"/>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1" w:name="联系人电话"/>
            <w:r>
              <w:rPr>
                <w:sz w:val="21"/>
                <w:szCs w:val="21"/>
              </w:rPr>
              <w:t>13691412300</w:t>
            </w:r>
            <w:bookmarkEnd w:id="11"/>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2" w:name="联系人邮箱"/>
            <w:r>
              <w:rPr>
                <w:sz w:val="21"/>
                <w:szCs w:val="21"/>
              </w:rPr>
              <w:t>dingwei403@126.com</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bookmarkStart w:id="13" w:name="管理者代表"/>
            <w:r>
              <w:t>丁维</w:t>
            </w:r>
            <w:bookmarkEnd w:id="13"/>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14" w:name="管代电话"/>
            <w:bookmarkEnd w:id="14"/>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5" w:name="审核类型"/>
            <w:r>
              <w:rPr>
                <w:rFonts w:ascii="宋体" w:hAnsi="宋体"/>
                <w:b/>
                <w:sz w:val="21"/>
                <w:szCs w:val="21"/>
              </w:rPr>
              <w:t>一阶段非现场</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r>
              <w:rPr>
                <w:rFonts w:hint="eastAsia" w:ascii="宋体" w:hAnsi="宋体" w:cs="宋体"/>
                <w:color w:val="000000"/>
                <w:kern w:val="0"/>
                <w:szCs w:val="24"/>
              </w:rPr>
              <w:t>□</w:t>
            </w:r>
            <w:r>
              <w:rPr>
                <w:rFonts w:hint="eastAsia" w:ascii="宋体" w:hAnsi="宋体" w:cs="宋体"/>
                <w:color w:val="000000"/>
                <w:kern w:val="0"/>
                <w:szCs w:val="21"/>
              </w:rPr>
              <w:t>现场审核</w:t>
            </w:r>
            <w:r>
              <w:rPr>
                <w:rFonts w:hint="eastAsia" w:ascii="宋体" w:hAnsi="宋体" w:cs="宋体"/>
                <w:color w:val="000000"/>
                <w:kern w:val="0"/>
                <w:szCs w:val="24"/>
              </w:rPr>
              <w:sym w:font="Wingdings 2" w:char="0052"/>
            </w:r>
            <w:r>
              <w:rPr>
                <w:rFonts w:hint="eastAsia" w:ascii="宋体" w:hAnsi="宋体" w:cs="宋体"/>
                <w:color w:val="000000"/>
                <w:kern w:val="0"/>
                <w:szCs w:val="21"/>
              </w:rPr>
              <w:t>远程审核</w:t>
            </w:r>
            <w:bookmarkStart w:id="16" w:name="非现场"/>
            <w:r>
              <w:rPr>
                <w:rFonts w:hint="eastAsia" w:ascii="宋体" w:hAnsi="宋体" w:cs="宋体"/>
                <w:color w:val="000000"/>
                <w:kern w:val="0"/>
                <w:szCs w:val="24"/>
              </w:rPr>
              <w:t>■非现场  □现场</w:t>
            </w:r>
            <w:bookmarkEnd w:id="16"/>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sym w:font="Wingdings 2" w:char="0052"/>
            </w:r>
            <w:r>
              <w:rPr>
                <w:color w:val="0000FF"/>
                <w:sz w:val="22"/>
              </w:rPr>
              <w:t>音频</w:t>
            </w:r>
            <w:r>
              <w:rPr>
                <w:rFonts w:hint="eastAsia" w:ascii="宋体" w:hAnsi="宋体" w:cs="宋体"/>
                <w:color w:val="0000FF"/>
                <w:kern w:val="0"/>
                <w:szCs w:val="24"/>
              </w:rPr>
              <w:sym w:font="Wingdings 2" w:char="0052"/>
            </w:r>
            <w:r>
              <w:rPr>
                <w:color w:val="0000FF"/>
                <w:sz w:val="22"/>
              </w:rPr>
              <w:t>视频</w:t>
            </w:r>
            <w:r>
              <w:rPr>
                <w:rFonts w:hint="eastAsia" w:ascii="宋体" w:hAnsi="宋体" w:cs="宋体"/>
                <w:color w:val="0000FF"/>
                <w:kern w:val="0"/>
                <w:szCs w:val="24"/>
              </w:rPr>
              <w:sym w:font="Wingdings 2" w:char="0052"/>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sym w:font="Wingdings 2" w:char="0052"/>
            </w:r>
            <w:r>
              <w:rPr>
                <w:rFonts w:hint="eastAsia" w:ascii="宋体" w:hAnsi="宋体" w:cs="宋体"/>
                <w:color w:val="0000FF"/>
                <w:kern w:val="0"/>
                <w:szCs w:val="24"/>
              </w:rPr>
              <w:t>网络</w:t>
            </w:r>
            <w:r>
              <w:rPr>
                <w:rFonts w:hint="eastAsia" w:ascii="宋体" w:hAnsi="宋体" w:cs="宋体"/>
                <w:color w:val="0000FF"/>
                <w:kern w:val="0"/>
                <w:szCs w:val="24"/>
              </w:rPr>
              <w:sym w:font="Wingdings 2" w:char="0052"/>
            </w:r>
            <w:r>
              <w:rPr>
                <w:rFonts w:hint="eastAsia" w:ascii="宋体" w:hAnsi="宋体" w:cs="宋体"/>
                <w:color w:val="0000FF"/>
                <w:kern w:val="0"/>
                <w:szCs w:val="24"/>
              </w:rPr>
              <w:t>智能手机</w:t>
            </w:r>
            <w:r>
              <w:rPr>
                <w:rFonts w:hint="eastAsia" w:ascii="宋体" w:hAnsi="宋体" w:cs="宋体"/>
                <w:color w:val="0000FF"/>
                <w:kern w:val="0"/>
                <w:szCs w:val="24"/>
              </w:rPr>
              <w:sym w:font="Wingdings 2" w:char="0052"/>
            </w:r>
            <w:r>
              <w:rPr>
                <w:rFonts w:hint="eastAsia" w:ascii="宋体" w:hAnsi="宋体" w:cs="宋体"/>
                <w:color w:val="0000FF"/>
                <w:kern w:val="0"/>
                <w:szCs w:val="24"/>
              </w:rPr>
              <w:t>台式电脑</w:t>
            </w:r>
            <w:r>
              <w:rPr>
                <w:rFonts w:hint="eastAsia" w:ascii="宋体" w:hAnsi="宋体" w:cs="宋体"/>
                <w:color w:val="0000FF"/>
                <w:kern w:val="0"/>
                <w:szCs w:val="24"/>
              </w:rPr>
              <w:sym w:font="Wingdings 2" w:char="0052"/>
            </w:r>
            <w:r>
              <w:rPr>
                <w:rFonts w:hint="eastAsia" w:ascii="宋体" w:hAnsi="宋体" w:cs="宋体"/>
                <w:color w:val="0000FF"/>
                <w:kern w:val="0"/>
                <w:szCs w:val="24"/>
              </w:rPr>
              <w:t>笔记本电脑</w:t>
            </w:r>
            <w:r>
              <w:rPr>
                <w:rFonts w:hint="eastAsia" w:ascii="宋体" w:hAnsi="宋体" w:cs="宋体"/>
                <w:color w:val="0000FF"/>
                <w:kern w:val="0"/>
                <w:szCs w:val="24"/>
              </w:rPr>
              <w:sym w:font="Wingdings 2" w:char="0052"/>
            </w:r>
            <w:r>
              <w:rPr>
                <w:rFonts w:hint="eastAsia" w:ascii="宋体" w:hAnsi="宋体" w:cs="宋体"/>
                <w:color w:val="0000FF"/>
                <w:kern w:val="0"/>
                <w:szCs w:val="24"/>
              </w:rPr>
              <w:t>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bookmarkStart w:id="17" w:name="审核范围"/>
            <w:r>
              <w:t>商品混凝土的生产和服务过程所涉及的能源管理活动</w:t>
            </w:r>
            <w:bookmarkEnd w:id="17"/>
          </w:p>
        </w:tc>
        <w:tc>
          <w:tcPr>
            <w:tcW w:w="1201" w:type="dxa"/>
            <w:gridSpan w:val="2"/>
            <w:vAlign w:val="center"/>
          </w:tcPr>
          <w:p>
            <w:r>
              <w:rPr>
                <w:rFonts w:hint="eastAsia"/>
              </w:rPr>
              <w:t>项目专业代码</w:t>
            </w:r>
          </w:p>
        </w:tc>
        <w:tc>
          <w:tcPr>
            <w:tcW w:w="1831" w:type="dxa"/>
            <w:gridSpan w:val="3"/>
            <w:vAlign w:val="center"/>
          </w:tcPr>
          <w:p>
            <w:bookmarkStart w:id="18" w:name="专业代码"/>
            <w:r>
              <w:t>2.4</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19" w:name="Q勾选Add1"/>
            <w:r>
              <w:rPr>
                <w:rFonts w:hint="eastAsia" w:ascii="宋体" w:hAnsi="宋体"/>
                <w:b/>
                <w:sz w:val="21"/>
                <w:szCs w:val="21"/>
              </w:rPr>
              <w:t>□</w:t>
            </w:r>
            <w:bookmarkEnd w:id="19"/>
            <w:r>
              <w:rPr>
                <w:rFonts w:hint="eastAsia" w:ascii="宋体" w:hAnsi="宋体"/>
                <w:b/>
                <w:sz w:val="21"/>
                <w:szCs w:val="21"/>
              </w:rPr>
              <w:t xml:space="preserve">GB/T19001-2016/ISO 9001:2015  </w:t>
            </w:r>
            <w:bookmarkStart w:id="20" w:name="QJ勾选Add1"/>
            <w:r>
              <w:rPr>
                <w:rFonts w:hint="eastAsia" w:ascii="宋体" w:hAnsi="宋体"/>
                <w:b/>
                <w:sz w:val="21"/>
                <w:szCs w:val="21"/>
              </w:rPr>
              <w:t>□</w:t>
            </w:r>
            <w:bookmarkEnd w:id="20"/>
            <w:r>
              <w:rPr>
                <w:rFonts w:hint="eastAsia" w:ascii="宋体" w:hAnsi="宋体"/>
                <w:b/>
                <w:sz w:val="21"/>
                <w:szCs w:val="21"/>
              </w:rPr>
              <w:t xml:space="preserve">GB/T 50430-2017    </w:t>
            </w:r>
          </w:p>
          <w:p>
            <w:pPr>
              <w:rPr>
                <w:rFonts w:ascii="宋体" w:hAnsi="宋体"/>
                <w:b/>
                <w:sz w:val="21"/>
                <w:szCs w:val="21"/>
              </w:rPr>
            </w:pPr>
            <w:bookmarkStart w:id="21" w:name="E勾选Add1"/>
            <w:r>
              <w:rPr>
                <w:rFonts w:hint="eastAsia" w:ascii="宋体" w:hAnsi="宋体"/>
                <w:b/>
                <w:sz w:val="21"/>
                <w:szCs w:val="21"/>
              </w:rPr>
              <w:t>□</w:t>
            </w:r>
            <w:bookmarkEnd w:id="21"/>
            <w:r>
              <w:rPr>
                <w:rFonts w:hint="eastAsia" w:ascii="宋体" w:hAnsi="宋体"/>
                <w:b/>
                <w:sz w:val="21"/>
                <w:szCs w:val="21"/>
              </w:rPr>
              <w:t xml:space="preserve">GB/T24001-2016/ISO 14001:2015 </w:t>
            </w:r>
            <w:bookmarkStart w:id="22" w:name="S勾选Add1"/>
            <w:r>
              <w:rPr>
                <w:rFonts w:hint="eastAsia" w:ascii="宋体" w:hAnsi="宋体"/>
                <w:b/>
                <w:sz w:val="21"/>
                <w:szCs w:val="21"/>
              </w:rPr>
              <w:t>□</w:t>
            </w:r>
            <w:bookmarkEnd w:id="22"/>
            <w:r>
              <w:rPr>
                <w:rFonts w:hint="eastAsia" w:ascii="宋体" w:hAnsi="宋体"/>
                <w:b/>
                <w:sz w:val="21"/>
                <w:szCs w:val="21"/>
              </w:rPr>
              <w:t>GB/T 45001-2020/ISO45001：2018</w:t>
            </w:r>
          </w:p>
          <w:p>
            <w:pPr>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GB/T 23331-2020/ISO50001：2018标准</w:t>
            </w:r>
          </w:p>
          <w:p>
            <w:pPr>
              <w:rPr>
                <w:rFonts w:hint="eastAsia" w:ascii="宋体" w:hAnsi="宋体" w:eastAsia="宋体" w:cs="Times New Roman"/>
                <w:b/>
                <w:sz w:val="21"/>
                <w:szCs w:val="21"/>
              </w:rPr>
            </w:pPr>
            <w:r>
              <w:rPr>
                <w:rFonts w:hint="eastAsia" w:ascii="宋体" w:hAnsi="宋体"/>
                <w:b/>
                <w:sz w:val="21"/>
                <w:szCs w:val="21"/>
              </w:rPr>
              <w:sym w:font="Wingdings 2" w:char="0052"/>
            </w:r>
            <w:r>
              <w:rPr>
                <w:rFonts w:hint="eastAsia" w:ascii="宋体" w:hAnsi="宋体"/>
                <w:b/>
                <w:sz w:val="21"/>
                <w:szCs w:val="21"/>
              </w:rPr>
              <w:t>RB/</w:t>
            </w:r>
            <w:r>
              <w:rPr>
                <w:rFonts w:hint="eastAsia" w:ascii="宋体" w:hAnsi="宋体" w:eastAsia="宋体" w:cs="Times New Roman"/>
                <w:b/>
                <w:sz w:val="21"/>
                <w:szCs w:val="21"/>
              </w:rPr>
              <w:t>T</w:t>
            </w:r>
            <w:r>
              <w:rPr>
                <w:rFonts w:hint="eastAsia" w:ascii="宋体" w:hAnsi="宋体" w:eastAsia="宋体" w:cs="Times New Roman"/>
                <w:b/>
                <w:sz w:val="21"/>
                <w:szCs w:val="21"/>
                <w:lang w:val="de-DE"/>
              </w:rPr>
              <w:t xml:space="preserve"> 121-2016 能源管理体系 建材企业(不含水泥、玻璃、陶瓷)企业认证要求</w:t>
            </w:r>
            <w:r>
              <w:rPr>
                <w:rFonts w:hint="eastAsia" w:ascii="宋体" w:hAnsi="宋体" w:eastAsia="宋体" w:cs="Times New Roman"/>
                <w:b/>
                <w:sz w:val="21"/>
                <w:szCs w:val="21"/>
              </w:rPr>
              <w:t xml:space="preserve">       </w:t>
            </w:r>
          </w:p>
          <w:p>
            <w:pPr>
              <w:rPr>
                <w:rFonts w:ascii="宋体" w:hAnsi="宋体"/>
                <w:b/>
                <w:sz w:val="21"/>
                <w:szCs w:val="21"/>
              </w:rPr>
            </w:pPr>
            <w:r>
              <w:rPr>
                <w:rFonts w:hint="eastAsia" w:ascii="宋体" w:hAnsi="宋体"/>
                <w:b/>
                <w:sz w:val="21"/>
                <w:szCs w:val="21"/>
              </w:rPr>
              <w:t>FSMS：</w:t>
            </w:r>
            <w:bookmarkStart w:id="23" w:name="F勾选Add1"/>
            <w:r>
              <w:rPr>
                <w:rFonts w:hint="eastAsia" w:ascii="宋体" w:hAnsi="宋体"/>
                <w:b/>
                <w:sz w:val="21"/>
                <w:szCs w:val="21"/>
              </w:rPr>
              <w:t>□</w:t>
            </w:r>
            <w:bookmarkEnd w:id="23"/>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4" w:name="H勾选Add1"/>
            <w:r>
              <w:rPr>
                <w:rFonts w:hint="eastAsia" w:ascii="宋体" w:hAnsi="宋体"/>
                <w:b/>
                <w:sz w:val="21"/>
                <w:szCs w:val="21"/>
              </w:rPr>
              <w:t>□</w:t>
            </w:r>
            <w:bookmarkEnd w:id="24"/>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r>
              <w:rPr>
                <w:rFonts w:hint="eastAsia" w:ascii="宋体" w:hAnsi="宋体"/>
                <w:b/>
                <w:sz w:val="21"/>
                <w:szCs w:val="21"/>
              </w:rPr>
              <w:sym w:font="Wingdings 2" w:char="0052"/>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B/0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现场审核于年月日至年月日，共天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远程审核于2021年11月10日 上午至2021年11月10日 下午，共1.0天。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eastAsia="zh-CN"/>
              </w:rPr>
            </w:pPr>
            <w:r>
              <w:rPr>
                <w:sz w:val="21"/>
                <w:szCs w:val="21"/>
              </w:rPr>
              <w:t>组长</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c>
          <w:tcPr>
            <w:tcW w:w="1152" w:type="dxa"/>
            <w:gridSpan w:val="2"/>
            <w:vAlign w:val="center"/>
          </w:tcPr>
          <w:p>
            <w:pPr>
              <w:jc w:val="center"/>
              <w:rPr>
                <w:sz w:val="21"/>
                <w:szCs w:val="21"/>
              </w:rPr>
            </w:pPr>
            <w:r>
              <w:rPr>
                <w:sz w:val="21"/>
                <w:szCs w:val="21"/>
              </w:rPr>
              <w:t>李丽英</w:t>
            </w:r>
          </w:p>
        </w:tc>
        <w:tc>
          <w:tcPr>
            <w:tcW w:w="567" w:type="dxa"/>
            <w:vAlign w:val="center"/>
          </w:tcPr>
          <w:p>
            <w:pPr>
              <w:jc w:val="center"/>
              <w:rPr>
                <w:sz w:val="21"/>
                <w:szCs w:val="21"/>
              </w:rPr>
            </w:pPr>
            <w:r>
              <w:rPr>
                <w:sz w:val="21"/>
                <w:szCs w:val="21"/>
              </w:rPr>
              <w:t>女</w:t>
            </w:r>
          </w:p>
        </w:tc>
        <w:tc>
          <w:tcPr>
            <w:tcW w:w="2738" w:type="dxa"/>
            <w:gridSpan w:val="3"/>
            <w:vAlign w:val="center"/>
          </w:tcPr>
          <w:p>
            <w:pPr>
              <w:jc w:val="center"/>
              <w:rPr>
                <w:sz w:val="21"/>
                <w:szCs w:val="21"/>
              </w:rPr>
            </w:pPr>
            <w:r>
              <w:rPr>
                <w:sz w:val="21"/>
                <w:szCs w:val="21"/>
              </w:rPr>
              <w:t>2020-N1EnMS-3021820</w:t>
            </w:r>
          </w:p>
        </w:tc>
        <w:tc>
          <w:tcPr>
            <w:tcW w:w="1029" w:type="dxa"/>
            <w:gridSpan w:val="4"/>
            <w:vAlign w:val="center"/>
          </w:tcPr>
          <w:p>
            <w:pPr>
              <w:jc w:val="center"/>
              <w:rPr>
                <w:sz w:val="18"/>
                <w:szCs w:val="18"/>
              </w:rPr>
            </w:pPr>
            <w:r>
              <w:rPr>
                <w:sz w:val="18"/>
                <w:szCs w:val="18"/>
              </w:rPr>
              <w:t>远程审核</w:t>
            </w:r>
          </w:p>
          <w:p>
            <w:pPr>
              <w:jc w:val="center"/>
              <w:rPr>
                <w:sz w:val="18"/>
                <w:szCs w:val="18"/>
              </w:rPr>
            </w:pPr>
          </w:p>
        </w:tc>
        <w:tc>
          <w:tcPr>
            <w:tcW w:w="868" w:type="dxa"/>
            <w:gridSpan w:val="2"/>
            <w:vAlign w:val="center"/>
          </w:tcPr>
          <w:p>
            <w:pPr>
              <w:jc w:val="center"/>
              <w:rPr>
                <w:sz w:val="21"/>
                <w:szCs w:val="21"/>
              </w:rPr>
            </w:pPr>
          </w:p>
        </w:tc>
        <w:tc>
          <w:tcPr>
            <w:tcW w:w="1393" w:type="dxa"/>
            <w:gridSpan w:val="3"/>
            <w:vAlign w:val="center"/>
          </w:tcPr>
          <w:p>
            <w:pPr>
              <w:jc w:val="center"/>
              <w:rPr>
                <w:sz w:val="21"/>
                <w:szCs w:val="21"/>
              </w:rPr>
            </w:pPr>
            <w:r>
              <w:rPr>
                <w:sz w:val="21"/>
                <w:szCs w:val="21"/>
              </w:rPr>
              <w:t>13903215511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default" w:eastAsia="宋体"/>
                <w:sz w:val="21"/>
                <w:szCs w:val="21"/>
                <w:lang w:val="en-US" w:eastAsia="zh-CN"/>
              </w:rPr>
            </w:pPr>
            <w:r>
              <w:rPr>
                <w:sz w:val="21"/>
                <w:szCs w:val="21"/>
              </w:rPr>
              <w:t>组员</w:t>
            </w:r>
            <w:r>
              <w:rPr>
                <w:rFonts w:hint="eastAsia"/>
                <w:sz w:val="21"/>
                <w:szCs w:val="21"/>
                <w:lang w:val="en-US" w:eastAsia="zh-CN"/>
              </w:rPr>
              <w:t>(B)</w:t>
            </w:r>
          </w:p>
        </w:tc>
        <w:tc>
          <w:tcPr>
            <w:tcW w:w="1152" w:type="dxa"/>
            <w:gridSpan w:val="2"/>
            <w:vAlign w:val="center"/>
          </w:tcPr>
          <w:p>
            <w:pPr>
              <w:jc w:val="center"/>
              <w:rPr>
                <w:sz w:val="21"/>
                <w:szCs w:val="21"/>
              </w:rPr>
            </w:pPr>
            <w:r>
              <w:rPr>
                <w:sz w:val="21"/>
                <w:szCs w:val="21"/>
              </w:rPr>
              <w:t>孔祥春</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ISC-JSZJ-412</w:t>
            </w:r>
          </w:p>
          <w:p>
            <w:pPr>
              <w:jc w:val="center"/>
              <w:rPr>
                <w:sz w:val="21"/>
                <w:szCs w:val="21"/>
              </w:rPr>
            </w:pPr>
            <w:r>
              <w:rPr>
                <w:sz w:val="21"/>
                <w:szCs w:val="21"/>
              </w:rPr>
              <w:t>保定津森拓新型建材有限公司</w:t>
            </w:r>
          </w:p>
        </w:tc>
        <w:tc>
          <w:tcPr>
            <w:tcW w:w="1029" w:type="dxa"/>
            <w:gridSpan w:val="4"/>
            <w:vAlign w:val="center"/>
          </w:tcPr>
          <w:p>
            <w:pPr>
              <w:jc w:val="center"/>
              <w:rPr>
                <w:sz w:val="18"/>
                <w:szCs w:val="18"/>
              </w:rPr>
            </w:pPr>
            <w:r>
              <w:rPr>
                <w:sz w:val="18"/>
                <w:szCs w:val="18"/>
              </w:rPr>
              <w:t>远程审核</w:t>
            </w:r>
          </w:p>
          <w:p>
            <w:pPr>
              <w:jc w:val="center"/>
              <w:rPr>
                <w:sz w:val="18"/>
                <w:szCs w:val="18"/>
              </w:rPr>
            </w:pPr>
          </w:p>
        </w:tc>
        <w:tc>
          <w:tcPr>
            <w:tcW w:w="868" w:type="dxa"/>
            <w:gridSpan w:val="2"/>
            <w:vAlign w:val="center"/>
          </w:tcPr>
          <w:p>
            <w:pPr>
              <w:jc w:val="center"/>
              <w:rPr>
                <w:sz w:val="21"/>
                <w:szCs w:val="21"/>
              </w:rPr>
            </w:pPr>
            <w:r>
              <w:rPr>
                <w:sz w:val="21"/>
                <w:szCs w:val="21"/>
              </w:rPr>
              <w:t>2.4</w:t>
            </w:r>
          </w:p>
        </w:tc>
        <w:tc>
          <w:tcPr>
            <w:tcW w:w="1393" w:type="dxa"/>
            <w:gridSpan w:val="3"/>
            <w:vAlign w:val="center"/>
          </w:tcPr>
          <w:p>
            <w:pPr>
              <w:jc w:val="center"/>
              <w:rPr>
                <w:sz w:val="21"/>
                <w:szCs w:val="21"/>
              </w:rPr>
            </w:pPr>
            <w:r>
              <w:rPr>
                <w:sz w:val="21"/>
                <w:szCs w:val="21"/>
              </w:rPr>
              <w:t>13521629210</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932" w:type="dxa"/>
            <w:gridSpan w:val="3"/>
            <w:vAlign w:val="center"/>
          </w:tcPr>
          <w:p>
            <w:pPr>
              <w:rPr>
                <w:sz w:val="21"/>
                <w:szCs w:val="21"/>
              </w:rPr>
            </w:pPr>
            <w:r>
              <w:rPr>
                <w:rFonts w:hint="eastAsia" w:ascii="Times New Roman" w:hAnsi="Times New Roman" w:eastAsia="宋体" w:cs="Times New Roman"/>
                <w:sz w:val="21"/>
                <w:szCs w:val="21"/>
              </w:rPr>
              <w:t>职务或职称</w:t>
            </w:r>
          </w:p>
        </w:tc>
        <w:tc>
          <w:tcPr>
            <w:tcW w:w="868" w:type="dxa"/>
            <w:gridSpan w:val="2"/>
            <w:vAlign w:val="center"/>
          </w:tcPr>
          <w:p>
            <w:r>
              <w:rPr>
                <w:rFonts w:hint="eastAsia"/>
                <w:sz w:val="21"/>
                <w:szCs w:val="21"/>
              </w:rPr>
              <w:t>专业代码</w:t>
            </w:r>
          </w:p>
        </w:tc>
        <w:tc>
          <w:tcPr>
            <w:tcW w:w="1393"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jc w:val="center"/>
              <w:rPr>
                <w:rFonts w:hint="default" w:ascii="Times New Roman" w:hAnsi="Times New Roman" w:eastAsia="宋体" w:cs="Times New Roman"/>
                <w:kern w:val="2"/>
                <w:sz w:val="21"/>
                <w:szCs w:val="21"/>
                <w:lang w:val="en-US" w:eastAsia="zh-CN" w:bidi="ar-SA"/>
              </w:rPr>
            </w:pPr>
            <w:r>
              <w:rPr>
                <w:sz w:val="21"/>
                <w:szCs w:val="21"/>
              </w:rPr>
              <w:t>组员</w:t>
            </w:r>
            <w:r>
              <w:rPr>
                <w:rFonts w:hint="eastAsia"/>
                <w:sz w:val="21"/>
                <w:szCs w:val="21"/>
                <w:lang w:val="en-US" w:eastAsia="zh-CN"/>
              </w:rPr>
              <w:t>(B)</w:t>
            </w:r>
          </w:p>
        </w:tc>
        <w:tc>
          <w:tcPr>
            <w:tcW w:w="1152"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孔祥春</w:t>
            </w:r>
          </w:p>
        </w:tc>
        <w:tc>
          <w:tcPr>
            <w:tcW w:w="567" w:type="dxa"/>
            <w:vAlign w:val="center"/>
          </w:tcPr>
          <w:p>
            <w:pPr>
              <w:jc w:val="center"/>
              <w:rPr>
                <w:rFonts w:ascii="Times New Roman" w:hAnsi="Times New Roman" w:eastAsia="宋体" w:cs="Times New Roman"/>
                <w:kern w:val="2"/>
                <w:sz w:val="21"/>
                <w:szCs w:val="21"/>
                <w:lang w:val="en-US" w:eastAsia="zh-CN" w:bidi="ar-SA"/>
              </w:rPr>
            </w:pPr>
            <w:r>
              <w:rPr>
                <w:sz w:val="21"/>
                <w:szCs w:val="21"/>
              </w:rPr>
              <w:t>男</w:t>
            </w:r>
          </w:p>
        </w:tc>
        <w:tc>
          <w:tcPr>
            <w:tcW w:w="2835" w:type="dxa"/>
            <w:gridSpan w:val="4"/>
            <w:vAlign w:val="center"/>
          </w:tcPr>
          <w:p>
            <w:pPr>
              <w:jc w:val="center"/>
              <w:rPr>
                <w:rFonts w:ascii="Times New Roman" w:hAnsi="Times New Roman" w:eastAsia="宋体" w:cs="Times New Roman"/>
                <w:kern w:val="2"/>
                <w:sz w:val="21"/>
                <w:szCs w:val="21"/>
                <w:lang w:val="en-US" w:eastAsia="zh-CN" w:bidi="ar-SA"/>
              </w:rPr>
            </w:pPr>
            <w:r>
              <w:rPr>
                <w:sz w:val="21"/>
                <w:szCs w:val="21"/>
              </w:rPr>
              <w:t>保定津森拓新型建材有限公司</w:t>
            </w:r>
          </w:p>
        </w:tc>
        <w:tc>
          <w:tcPr>
            <w:tcW w:w="932" w:type="dxa"/>
            <w:gridSpan w:val="3"/>
            <w:vAlign w:val="center"/>
          </w:tcPr>
          <w:p>
            <w:pPr>
              <w:rPr>
                <w:rFonts w:hint="default" w:eastAsia="宋体"/>
                <w:lang w:val="en-US" w:eastAsia="zh-CN"/>
              </w:rPr>
            </w:pPr>
            <w:r>
              <w:rPr>
                <w:rFonts w:hint="eastAsia" w:ascii="Times New Roman" w:hAnsi="Times New Roman" w:eastAsia="宋体" w:cs="Times New Roman"/>
                <w:sz w:val="21"/>
                <w:szCs w:val="21"/>
                <w:lang w:val="en-US" w:eastAsia="zh-CN"/>
              </w:rPr>
              <w:t>工程师</w:t>
            </w:r>
          </w:p>
        </w:tc>
        <w:tc>
          <w:tcPr>
            <w:tcW w:w="868" w:type="dxa"/>
            <w:gridSpan w:val="2"/>
            <w:vAlign w:val="center"/>
          </w:tcPr>
          <w:p>
            <w:pPr>
              <w:rPr>
                <w:rFonts w:hint="default" w:eastAsia="宋体"/>
                <w:lang w:val="en-US" w:eastAsia="zh-CN"/>
              </w:rPr>
            </w:pPr>
            <w:r>
              <w:rPr>
                <w:rFonts w:hint="eastAsia"/>
                <w:lang w:val="en-US" w:eastAsia="zh-CN"/>
              </w:rPr>
              <w:t>2.4</w:t>
            </w:r>
          </w:p>
        </w:tc>
        <w:tc>
          <w:tcPr>
            <w:tcW w:w="1393" w:type="dxa"/>
            <w:gridSpan w:val="3"/>
            <w:vAlign w:val="center"/>
          </w:tcPr>
          <w:p>
            <w:pPr>
              <w:jc w:val="center"/>
              <w:rPr>
                <w:sz w:val="21"/>
                <w:szCs w:val="21"/>
              </w:rPr>
            </w:pPr>
            <w:r>
              <w:rPr>
                <w:sz w:val="21"/>
                <w:szCs w:val="21"/>
              </w:rPr>
              <w:t>ISC-JSZJ-412</w:t>
            </w:r>
          </w:p>
          <w:p/>
        </w:tc>
        <w:tc>
          <w:tcPr>
            <w:tcW w:w="1084" w:type="dxa"/>
            <w:vAlign w:val="center"/>
          </w:tcPr>
          <w:p>
            <w:r>
              <w:rPr>
                <w:sz w:val="21"/>
                <w:szCs w:val="21"/>
              </w:rPr>
              <w:t>13521629210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r>
              <w:drawing>
                <wp:inline distT="0" distB="0" distL="0" distR="0">
                  <wp:extent cx="888365" cy="243840"/>
                  <wp:effectExtent l="0" t="0" r="635" b="10160"/>
                  <wp:docPr id="2" name="图片 2"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审核任务\电子签\李丽英电子签名.png"/>
                          <pic:cNvPicPr>
                            <a:picLocks noChangeAspect="1" noChangeArrowheads="1"/>
                          </pic:cNvPicPr>
                        </pic:nvPicPr>
                        <pic:blipFill>
                          <a:blip r:embed="rId6" cstate="print"/>
                          <a:srcRect/>
                          <a:stretch>
                            <a:fillRect/>
                          </a:stretch>
                        </pic:blipFill>
                        <pic:spPr>
                          <a:xfrm>
                            <a:off x="0" y="0"/>
                            <a:ext cx="888365" cy="243840"/>
                          </a:xfrm>
                          <a:prstGeom prst="rect">
                            <a:avLst/>
                          </a:prstGeom>
                          <a:noFill/>
                          <a:ln w="9525">
                            <a:noFill/>
                            <a:miter lim="800000"/>
                            <a:headEnd/>
                            <a:tailEnd/>
                          </a:ln>
                        </pic:spPr>
                      </pic:pic>
                    </a:graphicData>
                  </a:graphic>
                </wp:inline>
              </w:drawing>
            </w:r>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13903215511</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2021.11.9</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rPr>
                <w:rFonts w:hint="default" w:eastAsia="宋体"/>
                <w:lang w:val="en-US" w:eastAsia="zh-CN"/>
              </w:rPr>
            </w:pPr>
            <w:r>
              <w:rPr>
                <w:rFonts w:hint="eastAsia"/>
                <w:lang w:val="en-US" w:eastAsia="zh-CN"/>
              </w:rPr>
              <w:t>2021.11.10</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11.10</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11.10</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9:00-9:30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ascii="Times New Roman" w:hAnsi="Times New Roman" w:eastAsia="宋体" w:cs="Times New Roman"/>
                <w:szCs w:val="22"/>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rPr>
              <w:t>A</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11.10</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9:30-10:00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11.10</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10:00-11:00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rPr>
              <w:t>A</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11.10</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11:00-12:00</w:t>
            </w:r>
          </w:p>
        </w:tc>
        <w:tc>
          <w:tcPr>
            <w:tcW w:w="6781" w:type="dxa"/>
            <w:vAlign w:val="center"/>
          </w:tcPr>
          <w:p>
            <w:pPr>
              <w:widowControl/>
              <w:spacing w:before="40"/>
              <w:jc w:val="left"/>
              <w:rPr>
                <w:szCs w:val="18"/>
                <w:shd w:val="pct10" w:color="auto" w:fill="FFFFFF"/>
              </w:rPr>
            </w:pPr>
            <w:r>
              <w:rPr>
                <w:rFonts w:hint="eastAsia"/>
                <w:szCs w:val="18"/>
                <w:shd w:val="pct10" w:color="auto" w:fill="FFFFFF"/>
                <w:lang w:val="en-US" w:eastAsia="zh-CN"/>
              </w:rPr>
              <w:t>能源</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A</w:t>
            </w:r>
            <w:r>
              <w:rPr>
                <w:rFonts w:hint="eastAsia"/>
                <w:b/>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11.10</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12:30-16:00</w:t>
            </w:r>
          </w:p>
        </w:tc>
        <w:tc>
          <w:tcPr>
            <w:tcW w:w="6781" w:type="dxa"/>
            <w:shd w:val="clear" w:color="auto" w:fill="auto"/>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 查看能源评审报告的编制</w:t>
            </w:r>
          </w:p>
          <w:p>
            <w:pPr>
              <w:rPr>
                <w:szCs w:val="18"/>
              </w:rPr>
            </w:pPr>
            <w:r>
              <w:rPr>
                <w:szCs w:val="18"/>
              </w:rPr>
              <w:t>-</w:t>
            </w:r>
            <w:r>
              <w:rPr>
                <w:rFonts w:hint="eastAsia"/>
                <w:szCs w:val="18"/>
              </w:rPr>
              <w:t>了解能源使用种类</w:t>
            </w:r>
          </w:p>
          <w:p>
            <w:pPr>
              <w:rPr>
                <w:szCs w:val="18"/>
              </w:rPr>
            </w:pPr>
            <w:r>
              <w:rPr>
                <w:rFonts w:hint="eastAsia"/>
                <w:szCs w:val="18"/>
              </w:rPr>
              <w:t>- 查看确定主要能源使用及识别影响主要能源使用的相关变量的合理性</w:t>
            </w:r>
          </w:p>
          <w:p>
            <w:pPr>
              <w:rPr>
                <w:szCs w:val="18"/>
              </w:rPr>
            </w:pPr>
            <w:r>
              <w:rPr>
                <w:szCs w:val="18"/>
              </w:rPr>
              <w:t xml:space="preserve">- </w:t>
            </w: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196" w:type="dxa"/>
            <w:tcBorders>
              <w:right w:val="single" w:color="auto" w:sz="8" w:space="0"/>
            </w:tcBorders>
            <w:shd w:val="clear" w:color="auto" w:fill="auto"/>
            <w:vAlign w:val="center"/>
          </w:tcPr>
          <w:p>
            <w:pPr>
              <w:snapToGrid w:val="0"/>
              <w:spacing w:line="280" w:lineRule="exact"/>
              <w:jc w:val="left"/>
              <w:rPr>
                <w:b/>
                <w:sz w:val="20"/>
              </w:rPr>
            </w:pPr>
            <w:r>
              <w:rPr>
                <w:rFonts w:hint="eastAsia"/>
                <w:b/>
                <w:sz w:val="20"/>
              </w:rPr>
              <w:t>A</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11.10</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16:00-16:30</w:t>
            </w:r>
          </w:p>
        </w:tc>
        <w:tc>
          <w:tcPr>
            <w:tcW w:w="6781" w:type="dxa"/>
            <w:shd w:val="clear" w:color="auto" w:fill="auto"/>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巡视生产区域（厂区、车间等主要能源使用区域）</w:t>
            </w:r>
          </w:p>
          <w:p>
            <w:pPr>
              <w:widowControl/>
              <w:numPr>
                <w:ilvl w:val="0"/>
                <w:numId w:val="2"/>
              </w:numPr>
              <w:spacing w:before="40"/>
              <w:jc w:val="left"/>
            </w:pPr>
            <w:r>
              <w:rPr>
                <w:rFonts w:hint="eastAsia"/>
              </w:rPr>
              <w:t>巡视动力设施和辅助设施（锅炉房、高低压配电室、空压站、制冷站、改建/扩建施工现场等）</w:t>
            </w:r>
          </w:p>
          <w:p>
            <w:pPr>
              <w:widowControl/>
              <w:numPr>
                <w:ilvl w:val="0"/>
                <w:numId w:val="2"/>
              </w:numPr>
              <w:spacing w:before="40"/>
              <w:jc w:val="left"/>
            </w:pPr>
            <w:r>
              <w:rPr>
                <w:rFonts w:hint="eastAsia"/>
              </w:rPr>
              <w:t>现场核实能源计量的管理</w:t>
            </w:r>
          </w:p>
          <w:p>
            <w:pPr>
              <w:widowControl/>
              <w:numPr>
                <w:ilvl w:val="0"/>
                <w:numId w:val="2"/>
              </w:numPr>
              <w:spacing w:before="40"/>
              <w:jc w:val="left"/>
            </w:pPr>
            <w:r>
              <w:rPr>
                <w:rFonts w:hint="eastAsia"/>
              </w:rPr>
              <w:t>观察节能设施运行情况</w:t>
            </w:r>
          </w:p>
          <w:p>
            <w:pPr>
              <w:widowControl/>
              <w:numPr>
                <w:ilvl w:val="0"/>
                <w:numId w:val="2"/>
              </w:numPr>
              <w:spacing w:before="40"/>
              <w:jc w:val="left"/>
            </w:pPr>
            <w:r>
              <w:rPr>
                <w:rFonts w:hint="eastAsia"/>
              </w:rPr>
              <w:t>观察监视和测量设备的种类并了解检定/校准情况</w:t>
            </w:r>
          </w:p>
          <w:p>
            <w:pPr>
              <w:widowControl/>
              <w:numPr>
                <w:ilvl w:val="0"/>
                <w:numId w:val="2"/>
              </w:numPr>
              <w:spacing w:before="40"/>
              <w:jc w:val="left"/>
            </w:pPr>
            <w:r>
              <w:rPr>
                <w:rFonts w:hint="eastAsia"/>
              </w:rPr>
              <w:t>观察现场能源的跑冒滴漏现象</w:t>
            </w:r>
          </w:p>
        </w:tc>
        <w:tc>
          <w:tcPr>
            <w:tcW w:w="1196" w:type="dxa"/>
            <w:tcBorders>
              <w:right w:val="single" w:color="auto" w:sz="8" w:space="0"/>
            </w:tcBorders>
            <w:shd w:val="clear" w:color="auto" w:fill="auto"/>
            <w:vAlign w:val="center"/>
          </w:tcPr>
          <w:p>
            <w:pPr>
              <w:snapToGrid w:val="0"/>
              <w:spacing w:line="280" w:lineRule="exact"/>
              <w:jc w:val="left"/>
              <w:rPr>
                <w:b/>
                <w:sz w:val="20"/>
              </w:rPr>
            </w:pPr>
            <w:r>
              <w:rPr>
                <w:rFonts w:hint="eastAsia"/>
                <w:b/>
                <w:sz w:val="20"/>
              </w:rPr>
              <w:t>A</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11.10</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16:30-17:00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b/>
                <w:sz w:val="20"/>
              </w:rPr>
            </w:pPr>
          </w:p>
        </w:tc>
      </w:tr>
    </w:tbl>
    <w:p>
      <w:pPr>
        <w:spacing w:line="300" w:lineRule="exact"/>
        <w:ind w:firstLine="4156" w:firstLineChars="2300"/>
        <w:rPr>
          <w:b/>
          <w:color w:val="000000"/>
          <w:sz w:val="18"/>
          <w:szCs w:val="18"/>
        </w:rPr>
      </w:pPr>
    </w:p>
    <w:p>
      <w:pPr>
        <w:widowControl/>
        <w:spacing w:before="40"/>
        <w:jc w:val="left"/>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注：12:00-12:30午餐</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2049" o:spid="_x0000_s2049"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2196E4E"/>
    <w:rsid w:val="35856D82"/>
    <w:rsid w:val="537B5B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32</TotalTime>
  <ScaleCrop>false</ScaleCrop>
  <LinksUpToDate>false</LinksUpToDate>
  <CharactersWithSpaces>3682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2021-11-10T01:13:11Z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