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0193-2019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重庆科宝电缆股份有限公司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物控部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郑立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lang w:eastAsia="zh-CN"/>
              </w:rPr>
              <w:t>企业未</w:t>
            </w:r>
            <w:r>
              <w:rPr>
                <w:rFonts w:hint="eastAsia" w:ascii="宋体" w:hAnsi="宋体"/>
                <w:szCs w:val="21"/>
              </w:rPr>
              <w:t>对</w:t>
            </w:r>
            <w:r>
              <w:rPr>
                <w:rFonts w:hint="eastAsia" w:ascii="宋体" w:hAnsi="宋体"/>
                <w:szCs w:val="21"/>
                <w:lang w:eastAsia="zh-CN"/>
              </w:rPr>
              <w:t>提供计量校准和检测机构的能力进行识别并形成评价记录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GB/T19022标准条款6.4的要求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由品控部会同物控部对计量检测校准机构进行能力识别并确认.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措施有效,同意关闭.</w:t>
            </w:r>
            <w:bookmarkStart w:id="1" w:name="_GoBack"/>
            <w:bookmarkEnd w:id="1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DA4903"/>
    <w:rsid w:val="548B3AB0"/>
    <w:rsid w:val="5F347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10</TotalTime>
  <ScaleCrop>false</ScaleCrop>
  <LinksUpToDate>false</LinksUpToDate>
  <CharactersWithSpaces>276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2019-11-25T09:43:50Z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