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30" w:tblpY="137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7"/>
        <w:gridCol w:w="1223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重庆航程电力设备有限公司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17.06.01;17.12.05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17.06.01;17.12.05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采购验收—下料（需要时）—冲压成型—焊接（需要时）—喷塑（需要时）—检验—入库交付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生产过程的风险：尺寸不符合要求、焊接不牢固、虚焊、漏焊情况、外观划伤等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特殊过程：焊接、喷塑过程，通过对人员能力、设备设施、文件规范、过程控制等进行确认从而对该过程进行控制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电控配电用电缆桥架JB/T 10216-2013、一般公差 未注公差的线性和角度</w:t>
            </w:r>
            <w:r>
              <w:fldChar w:fldCharType="begin"/>
            </w:r>
            <w:r>
              <w:instrText xml:space="preserve"> HYPERLINK "http://www.so.com/s?q=%E5%B0%BA%E5%AF%B8&amp;ie=utf-8&amp;src=internal_wenda_recommend_textn" \t "http://wenda.so.com/q/_blank" </w:instrText>
            </w:r>
            <w: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尺寸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t>的公差GB/T 1804-2000、焊接结构的一般尺寸公差和形位公差、GB/T19804-2005、电控配电用电缆桥架标准JB/T 10216-2017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szCs w:val="22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电缆桥架及配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szCs w:val="22"/>
              </w:rPr>
              <w:t>件（电缆支架、抱箍）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检验项目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尺寸、焊接牢固度，涂层厚度等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93980</wp:posOffset>
                  </wp:positionV>
                  <wp:extent cx="812800" cy="400050"/>
                  <wp:effectExtent l="0" t="0" r="10160" b="1143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74930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2021.11.9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B827E9"/>
    <w:rsid w:val="38E02932"/>
    <w:rsid w:val="4A7651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2021-11-09T07:07:33Z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