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1155-2021-Q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重庆航程电力设备有限公司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2021年11月08日 上午至2021年11月08日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tc>
        <w:tc>
          <w:tcPr>
            <w:tcW w:w="1140" w:type="dxa"/>
            <w:vAlign w:val="center"/>
          </w:tcPr>
          <w:p>
            <w:pPr>
              <w:spacing w:line="240" w:lineRule="exact"/>
              <w:jc w:val="center"/>
              <w:rPr>
                <w:b/>
                <w:color w:val="000000"/>
                <w:szCs w:val="21"/>
              </w:rPr>
            </w:pPr>
            <w:r>
              <w:rPr>
                <w:b/>
                <w:color w:val="000000"/>
                <w:szCs w:val="21"/>
              </w:rPr>
              <w:t>17.06.01,17.12.05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重庆航程电力设备有限公司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重庆市江北区港宁路16号11幢1号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重庆市巴南区南泉街道红旗村2组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瞿江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13808376732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瞿江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瞿江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bookmarkStart w:id="35" w:name="审核范围"/>
            <w:r>
              <w:t>电缆桥架及配件（电缆支架、抱箍）的生产</w:t>
            </w:r>
            <w:bookmarkEnd w:id="35"/>
            <w:r>
              <w:rPr>
                <w:rFonts w:hint="eastAsia"/>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ind w:firstLine="420" w:firstLineChars="200"/>
              <w:rPr>
                <w:rFonts w:hint="eastAsia"/>
                <w:highlight w:val="none"/>
                <w:lang w:val="en-US" w:eastAsia="zh-CN"/>
              </w:rPr>
            </w:pPr>
            <w:r>
              <w:rPr>
                <w:rFonts w:hint="eastAsia"/>
                <w:szCs w:val="21"/>
                <w:highlight w:val="none"/>
              </w:rPr>
              <w:t>采购</w:t>
            </w:r>
            <w:r>
              <w:rPr>
                <w:rFonts w:hint="eastAsia" w:ascii="宋体" w:hAnsi="宋体"/>
                <w:szCs w:val="21"/>
                <w:highlight w:val="none"/>
              </w:rPr>
              <w:t>验收—下料（需要时）—冲压成型—焊接（需要时）—喷塑（需要时）—检验—入库交付。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电缆桥架及配件（电缆支架、抱箍）的生产</w:t>
            </w:r>
          </w:p>
        </w:tc>
        <w:tc>
          <w:tcPr>
            <w:tcW w:w="2006" w:type="dxa"/>
            <w:gridSpan w:val="3"/>
            <w:vAlign w:val="center"/>
          </w:tcPr>
          <w:p>
            <w:pPr>
              <w:spacing w:line="400" w:lineRule="exact"/>
              <w:rPr>
                <w:rFonts w:ascii="宋体" w:hAnsi="宋体"/>
                <w:b/>
                <w:color w:val="000000"/>
                <w:szCs w:val="21"/>
              </w:rPr>
            </w:pPr>
            <w:bookmarkStart w:id="36" w:name="专业代码"/>
            <w:r>
              <w:t>17.06.01;17.12.05</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vAlign w:val="top"/>
          </w:tcPr>
          <w:p>
            <w:pPr>
              <w:rPr>
                <w:rFonts w:ascii="宋体"/>
                <w:color w:val="000000"/>
                <w:szCs w:val="21"/>
              </w:rPr>
            </w:pPr>
            <w:r>
              <w:rPr>
                <w:rFonts w:hint="eastAsia" w:ascii="宋体" w:hAnsi="宋体" w:cs="宋体"/>
                <w:color w:val="000000"/>
                <w:kern w:val="0"/>
              </w:rPr>
              <w:t>■</w:t>
            </w:r>
            <w:r>
              <w:rPr>
                <w:rFonts w:hint="eastAsia" w:ascii="宋体" w:hAnsi="宋体"/>
                <w:color w:val="000000"/>
                <w:szCs w:val="21"/>
              </w:rPr>
              <w:t>是</w:t>
            </w:r>
          </w:p>
        </w:tc>
        <w:tc>
          <w:tcPr>
            <w:tcW w:w="1018" w:type="dxa"/>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重庆航程电力设备有限公司</w:t>
            </w:r>
            <w:r>
              <w:rPr>
                <w:rFonts w:hint="eastAsia"/>
                <w:sz w:val="21"/>
                <w:szCs w:val="21"/>
                <w:lang w:val="en-US" w:eastAsia="zh-CN"/>
              </w:rPr>
              <w:t>/</w:t>
            </w:r>
            <w:r>
              <w:rPr>
                <w:sz w:val="21"/>
                <w:szCs w:val="21"/>
              </w:rPr>
              <w:t>重庆市江北区港宁路16号11幢1号</w:t>
            </w:r>
          </w:p>
        </w:tc>
        <w:tc>
          <w:tcPr>
            <w:tcW w:w="2267" w:type="dxa"/>
          </w:tcPr>
          <w:p>
            <w:pPr>
              <w:spacing w:before="40" w:after="40"/>
              <w:rPr>
                <w:rFonts w:eastAsia="黑体"/>
                <w:szCs w:val="21"/>
                <w:lang w:val="de-DE" w:eastAsia="ja-JP"/>
              </w:rPr>
            </w:pPr>
            <w:r>
              <w:rPr>
                <w:sz w:val="21"/>
                <w:szCs w:val="21"/>
              </w:rPr>
              <w:t>重庆市巴南区南泉街道红旗村2组</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20"/>
              <w:rPr>
                <w:rFonts w:eastAsia="黑体" w:cs="Arial"/>
                <w:sz w:val="21"/>
                <w:szCs w:val="21"/>
                <w:lang w:val="en-US" w:eastAsia="ja-JP"/>
              </w:rPr>
            </w:pPr>
            <w:r>
              <w:t>电缆桥架及配件（电缆支架、抱箍）的生产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w:t>
            </w:r>
            <w:r>
              <w:rPr>
                <w:rFonts w:hint="eastAsia" w:ascii="宋体" w:hAnsi="宋体" w:eastAsia="宋体" w:cs="Times New Roman"/>
                <w:b/>
                <w:color w:val="000000"/>
                <w:kern w:val="2"/>
                <w:sz w:val="21"/>
                <w:szCs w:val="21"/>
                <w:u w:val="single"/>
                <w:lang w:val="en-US" w:eastAsia="zh-CN" w:bidi="ar-SA"/>
              </w:rPr>
              <w:t>和标准要求于2021 年09 月 15日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b/>
                <w:color w:val="000000"/>
                <w:kern w:val="2"/>
                <w:sz w:val="21"/>
                <w:szCs w:val="21"/>
                <w:u w:val="single"/>
                <w:lang w:val="en-US" w:eastAsia="zh-CN" w:bidi="ar-SA"/>
              </w:rPr>
              <w:t xml:space="preserve"> 2021年10 月06 日完成管</w:t>
            </w:r>
            <w:r>
              <w:rPr>
                <w:rFonts w:hint="eastAsia" w:ascii="宋体" w:hAnsi="宋体" w:eastAsia="宋体"/>
                <w:color w:val="000000"/>
                <w:sz w:val="21"/>
                <w:szCs w:val="21"/>
                <w:lang w:val="en-US" w:eastAsia="zh-CN"/>
              </w:rPr>
              <w:t>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vAlign w:val="top"/>
          </w:tcPr>
          <w:p>
            <w:pPr>
              <w:rPr>
                <w:rFonts w:ascii="宋体" w:hAnsi="宋体"/>
                <w:color w:val="000000"/>
                <w:szCs w:val="21"/>
                <w:highlight w:val="none"/>
              </w:rPr>
            </w:pPr>
            <w:sdt>
              <w:sdtPr>
                <w:rPr>
                  <w:rFonts w:eastAsia="黑体"/>
                  <w:szCs w:val="21"/>
                  <w:highlight w:val="none"/>
                </w:rPr>
                <w:id w:val="436627682"/>
              </w:sdtPr>
              <w:sdtEndPr>
                <w:rPr>
                  <w:rFonts w:eastAsia="黑体"/>
                  <w:szCs w:val="21"/>
                  <w:highlight w:val="none"/>
                </w:rPr>
              </w:sdtEndPr>
              <w:sdtContent>
                <w:r>
                  <w:rPr>
                    <w:rFonts w:hint="eastAsia" w:ascii="宋体" w:hAnsi="宋体" w:cs="宋体"/>
                    <w:color w:val="000000"/>
                    <w:kern w:val="0"/>
                    <w:highlight w:val="none"/>
                  </w:rPr>
                  <w:t>■</w:t>
                </w:r>
              </w:sdtContent>
            </w:sdt>
            <w:r>
              <w:rPr>
                <w:rFonts w:hint="eastAsia" w:ascii="宋体" w:hAnsi="宋体"/>
                <w:color w:val="000000"/>
                <w:szCs w:val="21"/>
                <w:highlight w:val="none"/>
              </w:rPr>
              <w:t xml:space="preserve">是     </w:t>
            </w:r>
          </w:p>
        </w:tc>
        <w:tc>
          <w:tcPr>
            <w:tcW w:w="1637" w:type="dxa"/>
            <w:shd w:val="clear" w:color="auto" w:fill="DBEEF3" w:themeFill="accent5" w:themeFillTint="32"/>
            <w:vAlign w:val="top"/>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vAlign w:val="top"/>
          </w:tcPr>
          <w:p>
            <w:pPr>
              <w:rPr>
                <w:rFonts w:ascii="宋体"/>
                <w:color w:val="000000"/>
                <w:szCs w:val="21"/>
                <w:highlight w:val="none"/>
              </w:rPr>
            </w:pPr>
            <w:sdt>
              <w:sdtPr>
                <w:rPr>
                  <w:rFonts w:eastAsia="黑体"/>
                  <w:szCs w:val="21"/>
                  <w:highlight w:val="none"/>
                </w:rPr>
                <w:id w:val="436627682"/>
              </w:sdtPr>
              <w:sdtEndPr>
                <w:rPr>
                  <w:rFonts w:eastAsia="黑体"/>
                  <w:szCs w:val="21"/>
                  <w:highlight w:val="none"/>
                </w:rPr>
              </w:sdtEndPr>
              <w:sdtContent>
                <w:r>
                  <w:rPr>
                    <w:rFonts w:hint="eastAsia" w:ascii="宋体" w:hAnsi="宋体" w:cs="宋体"/>
                    <w:color w:val="000000"/>
                    <w:kern w:val="0"/>
                    <w:highlight w:val="none"/>
                  </w:rPr>
                  <w:t>■</w:t>
                </w:r>
              </w:sdtContent>
            </w:sdt>
            <w:r>
              <w:rPr>
                <w:rFonts w:hint="eastAsia" w:ascii="宋体" w:hAnsi="宋体"/>
                <w:color w:val="000000"/>
                <w:szCs w:val="21"/>
                <w:highlight w:val="none"/>
              </w:rPr>
              <w:t xml:space="preserve">是     </w:t>
            </w:r>
          </w:p>
        </w:tc>
        <w:tc>
          <w:tcPr>
            <w:tcW w:w="1637" w:type="dxa"/>
            <w:shd w:val="clear" w:color="auto" w:fill="DBEEF3" w:themeFill="accent5" w:themeFillTint="32"/>
            <w:vAlign w:val="top"/>
          </w:tcPr>
          <w:p>
            <w:pPr>
              <w:rPr>
                <w:rFonts w:asci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43662768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8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8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sdt>
              <w:sdtPr>
                <w:rPr>
                  <w:rFonts w:eastAsia="黑体"/>
                  <w:szCs w:val="21"/>
                </w:rPr>
                <w:id w:val="436627701"/>
              </w:sdtPr>
              <w:sdtEndPr>
                <w:rPr>
                  <w:rFonts w:eastAsia="黑体"/>
                  <w:szCs w:val="21"/>
                </w:rPr>
              </w:sdtEndPr>
              <w:sdtContent>
                <w:r>
                  <w:rPr>
                    <w:rFonts w:hint="eastAsia" w:ascii="宋体" w:hAnsi="宋体" w:cs="宋体"/>
                    <w:color w:val="000000"/>
                    <w:kern w:val="0"/>
                  </w:rPr>
                  <w:t>■</w:t>
                </w:r>
              </w:sdtContent>
            </w:sdt>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ascii="宋体"/>
                <w:b/>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436627702"/>
              </w:sdtPr>
              <w:sdtEndPr>
                <w:rPr>
                  <w:rFonts w:eastAsia="黑体"/>
                  <w:szCs w:val="21"/>
                </w:rPr>
              </w:sdtEndPr>
              <w:sdtContent>
                <w:r>
                  <w:rPr>
                    <w:rFonts w:hint="eastAsia" w:ascii="宋体" w:hAnsi="宋体" w:cs="宋体"/>
                    <w:color w:val="000000"/>
                    <w:kern w:val="0"/>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7" w:name="二阶段审核日期"/>
            <w:r>
              <w:rPr>
                <w:rFonts w:hint="eastAsia" w:ascii="宋体"/>
                <w:b/>
                <w:color w:val="000000"/>
                <w:szCs w:val="21"/>
                <w:highlight w:val="none"/>
                <w:u w:val="single"/>
              </w:rPr>
              <w:t>2021-</w:t>
            </w:r>
            <w:bookmarkEnd w:id="37"/>
            <w:r>
              <w:rPr>
                <w:rFonts w:hint="eastAsia" w:ascii="宋体"/>
                <w:b/>
                <w:color w:val="000000"/>
                <w:szCs w:val="21"/>
                <w:highlight w:val="none"/>
                <w:u w:val="single"/>
                <w:lang w:val="en-US" w:eastAsia="zh-CN"/>
              </w:rPr>
              <w:t>11-09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电缆桥架及配件（电缆支架、抱箍）的生产</w:t>
            </w:r>
          </w:p>
        </w:tc>
        <w:tc>
          <w:tcPr>
            <w:tcW w:w="1541" w:type="dxa"/>
            <w:vAlign w:val="center"/>
          </w:tcPr>
          <w:p>
            <w:pPr>
              <w:spacing w:line="400" w:lineRule="exact"/>
              <w:rPr>
                <w:rFonts w:ascii="宋体" w:hAnsi="宋体"/>
                <w:b/>
                <w:color w:val="000000"/>
                <w:szCs w:val="21"/>
              </w:rPr>
            </w:pPr>
            <w:r>
              <w:t>17.06.01;17.12.05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1719580</wp:posOffset>
            </wp:positionH>
            <wp:positionV relativeFrom="paragraph">
              <wp:posOffset>361950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2021年11月8日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重庆航程电力设备有限公司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844"/>
        <w:gridCol w:w="1392"/>
        <w:gridCol w:w="1382"/>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63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39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82"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77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632"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highlight w:val="none"/>
                <w:lang w:val="en-US" w:eastAsia="zh-CN"/>
              </w:rPr>
              <w:t>钢卷尺、</w:t>
            </w:r>
            <w:r>
              <w:rPr>
                <w:rFonts w:hint="eastAsia" w:eastAsia="宋体"/>
                <w:color w:val="000000"/>
                <w:sz w:val="21"/>
                <w:szCs w:val="21"/>
                <w:highlight w:val="none"/>
                <w:lang w:val="en-US" w:eastAsia="zh-CN"/>
              </w:rPr>
              <w:t>游标卡尺、</w:t>
            </w:r>
            <w:r>
              <w:rPr>
                <w:rFonts w:hint="eastAsia" w:ascii="宋体" w:hAnsi="宋体"/>
                <w:sz w:val="21"/>
                <w:szCs w:val="21"/>
                <w:lang w:val="en-US" w:eastAsia="zh-CN"/>
              </w:rPr>
              <w:t>涂层测厚仪</w:t>
            </w:r>
            <w:bookmarkStart w:id="38" w:name="_GoBack"/>
            <w:bookmarkEnd w:id="38"/>
            <w:r>
              <w:rPr>
                <w:rFonts w:hint="eastAsia" w:eastAsia="宋体"/>
                <w:color w:val="000000"/>
                <w:sz w:val="21"/>
                <w:szCs w:val="21"/>
                <w:highlight w:val="none"/>
                <w:lang w:val="en-US" w:eastAsia="zh-CN"/>
              </w:rPr>
              <w:t>未提供有效的检定和校准证书。</w:t>
            </w:r>
          </w:p>
        </w:tc>
        <w:tc>
          <w:tcPr>
            <w:tcW w:w="1392" w:type="dxa"/>
            <w:vAlign w:val="center"/>
          </w:tcPr>
          <w:p>
            <w:pPr>
              <w:pStyle w:val="7"/>
              <w:pBdr>
                <w:bottom w:val="none" w:color="auto" w:sz="0" w:space="0"/>
              </w:pBdr>
              <w:ind w:right="600"/>
              <w:jc w:val="left"/>
              <w:rPr>
                <w:color w:val="000000"/>
                <w:sz w:val="21"/>
                <w:szCs w:val="21"/>
              </w:rPr>
            </w:pPr>
            <w:r>
              <w:rPr>
                <w:rFonts w:hint="eastAsia"/>
                <w:color w:val="000000"/>
                <w:sz w:val="21"/>
                <w:szCs w:val="21"/>
                <w:lang w:val="en-US" w:eastAsia="zh-CN"/>
              </w:rPr>
              <w:t>GB/T19001-2016</w:t>
            </w:r>
          </w:p>
        </w:tc>
        <w:tc>
          <w:tcPr>
            <w:tcW w:w="1382" w:type="dxa"/>
            <w:vAlign w:val="center"/>
          </w:tcPr>
          <w:p>
            <w:pPr>
              <w:pStyle w:val="7"/>
              <w:pBdr>
                <w:bottom w:val="none" w:color="auto" w:sz="0" w:space="0"/>
              </w:pBdr>
              <w:ind w:right="600"/>
              <w:jc w:val="left"/>
              <w:rPr>
                <w:rFonts w:hint="default" w:eastAsia="宋体"/>
                <w:color w:val="000000"/>
                <w:sz w:val="21"/>
                <w:szCs w:val="21"/>
                <w:lang w:val="en-US" w:eastAsia="zh-CN"/>
              </w:rPr>
            </w:pPr>
            <w:r>
              <w:rPr>
                <w:rFonts w:hint="eastAsia" w:ascii="宋体" w:hAnsi="宋体"/>
                <w:b/>
                <w:sz w:val="21"/>
                <w:szCs w:val="21"/>
                <w:lang w:val="en-US" w:eastAsia="zh-CN"/>
              </w:rPr>
              <w:t>7.1.5</w:t>
            </w:r>
          </w:p>
        </w:tc>
        <w:tc>
          <w:tcPr>
            <w:tcW w:w="77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63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92" w:type="dxa"/>
            <w:vAlign w:val="center"/>
          </w:tcPr>
          <w:p>
            <w:pPr>
              <w:pStyle w:val="7"/>
              <w:pBdr>
                <w:bottom w:val="none" w:color="auto" w:sz="0" w:space="0"/>
              </w:pBdr>
              <w:ind w:right="600"/>
              <w:jc w:val="both"/>
              <w:rPr>
                <w:color w:val="000000"/>
                <w:sz w:val="21"/>
                <w:szCs w:val="21"/>
              </w:rPr>
            </w:pPr>
          </w:p>
        </w:tc>
        <w:tc>
          <w:tcPr>
            <w:tcW w:w="1382" w:type="dxa"/>
            <w:vAlign w:val="center"/>
          </w:tcPr>
          <w:p>
            <w:pPr>
              <w:pStyle w:val="7"/>
              <w:pBdr>
                <w:bottom w:val="none" w:color="auto" w:sz="0" w:space="0"/>
              </w:pBdr>
              <w:ind w:right="600"/>
              <w:jc w:val="both"/>
              <w:rPr>
                <w:color w:val="000000"/>
                <w:sz w:val="21"/>
                <w:szCs w:val="21"/>
              </w:rPr>
            </w:pPr>
          </w:p>
        </w:tc>
        <w:tc>
          <w:tcPr>
            <w:tcW w:w="77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63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92" w:type="dxa"/>
            <w:vAlign w:val="center"/>
          </w:tcPr>
          <w:p>
            <w:pPr>
              <w:pStyle w:val="7"/>
              <w:pBdr>
                <w:bottom w:val="none" w:color="auto" w:sz="0" w:space="0"/>
              </w:pBdr>
              <w:ind w:right="600"/>
              <w:jc w:val="both"/>
              <w:rPr>
                <w:color w:val="000000"/>
                <w:sz w:val="21"/>
                <w:szCs w:val="21"/>
              </w:rPr>
            </w:pPr>
          </w:p>
        </w:tc>
        <w:tc>
          <w:tcPr>
            <w:tcW w:w="1382" w:type="dxa"/>
            <w:vAlign w:val="center"/>
          </w:tcPr>
          <w:p>
            <w:pPr>
              <w:pStyle w:val="7"/>
              <w:pBdr>
                <w:bottom w:val="none" w:color="auto" w:sz="0" w:space="0"/>
              </w:pBdr>
              <w:ind w:right="600"/>
              <w:jc w:val="both"/>
              <w:rPr>
                <w:color w:val="000000"/>
                <w:sz w:val="21"/>
                <w:szCs w:val="21"/>
              </w:rPr>
            </w:pPr>
          </w:p>
        </w:tc>
        <w:tc>
          <w:tcPr>
            <w:tcW w:w="77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63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92" w:type="dxa"/>
            <w:vAlign w:val="center"/>
          </w:tcPr>
          <w:p>
            <w:pPr>
              <w:pStyle w:val="7"/>
              <w:pBdr>
                <w:bottom w:val="none" w:color="auto" w:sz="0" w:space="0"/>
              </w:pBdr>
              <w:ind w:right="600"/>
              <w:jc w:val="both"/>
              <w:rPr>
                <w:color w:val="000000"/>
                <w:sz w:val="21"/>
                <w:szCs w:val="21"/>
              </w:rPr>
            </w:pPr>
          </w:p>
        </w:tc>
        <w:tc>
          <w:tcPr>
            <w:tcW w:w="1382" w:type="dxa"/>
            <w:vAlign w:val="center"/>
          </w:tcPr>
          <w:p>
            <w:pPr>
              <w:pStyle w:val="7"/>
              <w:pBdr>
                <w:bottom w:val="none" w:color="auto" w:sz="0" w:space="0"/>
              </w:pBdr>
              <w:ind w:right="600"/>
              <w:jc w:val="both"/>
              <w:rPr>
                <w:color w:val="000000"/>
                <w:sz w:val="21"/>
                <w:szCs w:val="21"/>
              </w:rPr>
            </w:pPr>
          </w:p>
        </w:tc>
        <w:tc>
          <w:tcPr>
            <w:tcW w:w="77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63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92" w:type="dxa"/>
            <w:vAlign w:val="center"/>
          </w:tcPr>
          <w:p>
            <w:pPr>
              <w:pStyle w:val="7"/>
              <w:pBdr>
                <w:bottom w:val="none" w:color="auto" w:sz="0" w:space="0"/>
              </w:pBdr>
              <w:ind w:right="600"/>
              <w:jc w:val="both"/>
              <w:rPr>
                <w:color w:val="000000"/>
                <w:sz w:val="21"/>
                <w:szCs w:val="21"/>
              </w:rPr>
            </w:pPr>
          </w:p>
        </w:tc>
        <w:tc>
          <w:tcPr>
            <w:tcW w:w="1382" w:type="dxa"/>
            <w:vAlign w:val="center"/>
          </w:tcPr>
          <w:p>
            <w:pPr>
              <w:pStyle w:val="7"/>
              <w:pBdr>
                <w:bottom w:val="none" w:color="auto" w:sz="0" w:space="0"/>
              </w:pBdr>
              <w:ind w:right="600"/>
              <w:jc w:val="both"/>
              <w:rPr>
                <w:color w:val="000000"/>
                <w:sz w:val="21"/>
                <w:szCs w:val="21"/>
              </w:rPr>
            </w:pPr>
          </w:p>
        </w:tc>
        <w:tc>
          <w:tcPr>
            <w:tcW w:w="77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669925</wp:posOffset>
                  </wp:positionH>
                  <wp:positionV relativeFrom="paragraph">
                    <wp:posOffset>44450</wp:posOffset>
                  </wp:positionV>
                  <wp:extent cx="812800" cy="400050"/>
                  <wp:effectExtent l="0" t="0" r="10160" b="11430"/>
                  <wp:wrapNone/>
                  <wp:docPr id="1" name="图片 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11</w:t>
            </w:r>
            <w:r>
              <w:rPr>
                <w:rFonts w:hint="eastAsia"/>
                <w:b/>
                <w:color w:val="000000"/>
                <w:szCs w:val="21"/>
              </w:rPr>
              <w:t xml:space="preserve"> 月</w:t>
            </w:r>
            <w:r>
              <w:rPr>
                <w:rFonts w:hint="eastAsia"/>
                <w:b/>
                <w:color w:val="000000"/>
                <w:szCs w:val="21"/>
                <w:lang w:val="en-US" w:eastAsia="zh-CN"/>
              </w:rPr>
              <w:t>8</w:t>
            </w:r>
            <w:r>
              <w:rPr>
                <w:rFonts w:hint="eastAsia"/>
                <w:b/>
                <w:color w:val="000000"/>
                <w:szCs w:val="21"/>
              </w:rPr>
              <w:t>日</w:t>
            </w:r>
          </w:p>
        </w:tc>
        <w:tc>
          <w:tcPr>
            <w:tcW w:w="5392" w:type="dxa"/>
            <w:gridSpan w:val="4"/>
            <w:vAlign w:val="top"/>
          </w:tcPr>
          <w:p>
            <w:pPr>
              <w:spacing w:line="280" w:lineRule="exact"/>
              <w:rPr>
                <w:rFonts w:hint="eastAsia"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w:t>
            </w:r>
            <w:r>
              <w:rPr>
                <w:sz w:val="21"/>
                <w:szCs w:val="21"/>
              </w:rPr>
              <w:t>瞿江</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w:t>
            </w:r>
            <w:r>
              <w:rPr>
                <w:rFonts w:hint="eastAsia"/>
                <w:b/>
                <w:color w:val="000000"/>
                <w:szCs w:val="21"/>
              </w:rPr>
              <w:t xml:space="preserve"> </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11</w:t>
            </w:r>
            <w:r>
              <w:rPr>
                <w:rFonts w:hint="eastAsia"/>
                <w:b/>
                <w:color w:val="000000"/>
                <w:szCs w:val="21"/>
              </w:rPr>
              <w:t xml:space="preserve"> 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596900</wp:posOffset>
                  </wp:positionH>
                  <wp:positionV relativeFrom="paragraph">
                    <wp:posOffset>41910</wp:posOffset>
                  </wp:positionV>
                  <wp:extent cx="812800" cy="400050"/>
                  <wp:effectExtent l="0" t="0" r="10160" b="11430"/>
                  <wp:wrapNone/>
                  <wp:docPr id="4" name="图片 4"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11</w:t>
            </w:r>
            <w:r>
              <w:rPr>
                <w:rFonts w:hint="eastAsia"/>
                <w:b/>
                <w:color w:val="000000"/>
                <w:szCs w:val="21"/>
              </w:rPr>
              <w:t xml:space="preserve"> 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4C657DF"/>
    <w:rsid w:val="52931BF5"/>
    <w:rsid w:val="61C91E2E"/>
    <w:rsid w:val="67A4185C"/>
    <w:rsid w:val="75F3028A"/>
    <w:rsid w:val="7BAF26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2021-11-09T02:57:37Z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