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重庆瑞锦物业管理有限公司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物业管理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  <w:bookmarkStart w:id="9" w:name="_GoBack"/>
            <w:bookmarkEnd w:id="9"/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物业管理服务控制，包括服务方案制定、人员能力培训、服务过程监控，造成风险：顾客投诉。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重要环境因素:潜在火灾、固废排放，采取分类收集、管理方案和预案措施管理。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不可接受风险：触电、潜在火灾、伤亡事故,采取应急演练、管理方案管理。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《重庆市物业管理条例》、《物业服务收费管理办法》、《商务楼宇物业管理服务规范》和合同协议等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检验项目：服务质量、及时性、投诉处理满意度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137795</wp:posOffset>
                  </wp:positionV>
                  <wp:extent cx="719455" cy="365125"/>
                  <wp:effectExtent l="0" t="0" r="4445" b="3175"/>
                  <wp:wrapNone/>
                  <wp:docPr id="1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65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2021年12月27日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401320</wp:posOffset>
                  </wp:positionH>
                  <wp:positionV relativeFrom="paragraph">
                    <wp:posOffset>134620</wp:posOffset>
                  </wp:positionV>
                  <wp:extent cx="788035" cy="400050"/>
                  <wp:effectExtent l="0" t="0" r="12065" b="6350"/>
                  <wp:wrapNone/>
                  <wp:docPr id="3" name="图片 2" descr="签名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2021年12月27日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D9053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2021-12-26T03:21:23Z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2052-11.1.0.11194</vt:lpwstr>
  </property>
</Properties>
</file>