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1162-2021-Q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南皮县木桥电子器件厂</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 xml:space="preserve">2021年11月08日 </w:t>
            </w:r>
            <w:r>
              <w:rPr>
                <w:rFonts w:hint="eastAsia" w:ascii="宋体"/>
                <w:b/>
                <w:color w:val="000000"/>
                <w:szCs w:val="21"/>
                <w:lang w:val="en-US" w:eastAsia="zh-CN"/>
              </w:rPr>
              <w:t>下</w:t>
            </w:r>
            <w:r>
              <w:rPr>
                <w:rFonts w:hint="eastAsia" w:ascii="宋体"/>
                <w:b/>
                <w:color w:val="000000"/>
                <w:szCs w:val="21"/>
              </w:rPr>
              <w:t xml:space="preserve">午至2021年11月08日 </w:t>
            </w:r>
            <w:r>
              <w:rPr>
                <w:rFonts w:hint="eastAsia" w:ascii="宋体"/>
                <w:b/>
                <w:color w:val="000000"/>
                <w:szCs w:val="21"/>
                <w:lang w:val="en-US" w:eastAsia="zh-CN"/>
              </w:rPr>
              <w:t>下</w:t>
            </w:r>
            <w:r>
              <w:rPr>
                <w:rFonts w:hint="eastAsia" w:ascii="宋体"/>
                <w:b/>
                <w:color w:val="000000"/>
                <w:szCs w:val="21"/>
              </w:rPr>
              <w:t>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刘红杰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2021-N1QMS-1281767</w:t>
            </w:r>
          </w:p>
        </w:tc>
        <w:tc>
          <w:tcPr>
            <w:tcW w:w="1140" w:type="dxa"/>
            <w:vAlign w:val="center"/>
          </w:tcPr>
          <w:p>
            <w:pPr>
              <w:spacing w:line="240" w:lineRule="exact"/>
              <w:jc w:val="center"/>
              <w:rPr>
                <w:b/>
                <w:color w:val="000000"/>
                <w:szCs w:val="21"/>
              </w:rPr>
            </w:pPr>
            <w:r>
              <w:rPr>
                <w:b/>
                <w:color w:val="000000"/>
                <w:szCs w:val="21"/>
              </w:rPr>
              <w:t>17.09.00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南皮县木桥电子器件厂</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南皮县冯家口镇木架桥村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061500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南皮县冯家口镇木架桥村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061500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周玉治</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13703273835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周玉琪</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周玉治</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bookmarkStart w:id="35" w:name="审核范围"/>
            <w:r>
              <w:rPr>
                <w:rFonts w:hint="eastAsia" w:ascii="宋体" w:hAnsi="宋体" w:cs="宋体"/>
                <w:color w:val="000000"/>
                <w:kern w:val="0"/>
                <w:szCs w:val="21"/>
              </w:rPr>
              <w:t>五金冲压件的生产</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default"/>
                <w:lang w:val="en-US"/>
              </w:rPr>
            </w:pPr>
            <w:r>
              <w:rPr>
                <w:rFonts w:hint="eastAsia" w:ascii="宋体" w:hAnsi="宋体" w:cs="宋体"/>
                <w:sz w:val="24"/>
                <w:szCs w:val="24"/>
                <w:bdr w:val="single" w:sz="4" w:space="0"/>
                <w:shd w:val="clear" w:color="FFFFFF" w:fill="D9D9D9"/>
                <w:lang w:val="en-US" w:eastAsia="zh-CN"/>
              </w:rPr>
              <w:t>来料</w:t>
            </w:r>
            <w:r>
              <w:rPr>
                <w:rFonts w:ascii="宋体" w:hAnsi="宋体" w:eastAsia="宋体" w:cs="宋体"/>
                <w:sz w:val="24"/>
                <w:szCs w:val="24"/>
              </w:rPr>
              <w:t>—</w:t>
            </w:r>
            <w:r>
              <w:rPr>
                <w:rFonts w:hint="eastAsia" w:ascii="宋体" w:hAnsi="宋体" w:cs="宋体"/>
                <w:sz w:val="24"/>
                <w:szCs w:val="24"/>
                <w:lang w:val="en-US" w:eastAsia="zh-CN"/>
              </w:rPr>
              <w:t>&gt;</w:t>
            </w:r>
            <w:r>
              <w:rPr>
                <w:rFonts w:hint="eastAsia" w:ascii="宋体" w:hAnsi="宋体" w:eastAsia="宋体" w:cs="宋体"/>
                <w:sz w:val="24"/>
                <w:szCs w:val="24"/>
                <w:bdr w:val="single" w:sz="4" w:space="0"/>
                <w:shd w:val="clear" w:color="FFFFFF" w:fill="D9D9D9"/>
                <w:lang w:val="en-US" w:eastAsia="zh-CN"/>
              </w:rPr>
              <w:t>冲压</w:t>
            </w:r>
            <w:r>
              <w:rPr>
                <w:rFonts w:hint="eastAsia" w:ascii="宋体" w:hAnsi="宋体" w:cs="宋体"/>
                <w:sz w:val="24"/>
                <w:szCs w:val="24"/>
                <w:lang w:val="en-US" w:eastAsia="zh-CN"/>
              </w:rPr>
              <w:t>---&gt;</w:t>
            </w:r>
            <w:r>
              <w:rPr>
                <w:rFonts w:hint="eastAsia" w:ascii="宋体" w:hAnsi="宋体" w:eastAsia="宋体" w:cs="宋体"/>
                <w:sz w:val="24"/>
                <w:szCs w:val="24"/>
                <w:bdr w:val="single" w:sz="4" w:space="0"/>
                <w:shd w:val="clear" w:color="FFFFFF" w:fill="D9D9D9"/>
                <w:lang w:val="en-US" w:eastAsia="zh-CN"/>
              </w:rPr>
              <w:t>成型</w:t>
            </w:r>
            <w:r>
              <w:rPr>
                <w:rFonts w:hint="eastAsia" w:ascii="宋体" w:hAnsi="宋体" w:cs="宋体"/>
                <w:sz w:val="24"/>
                <w:szCs w:val="24"/>
                <w:lang w:val="en-US" w:eastAsia="zh-CN"/>
              </w:rPr>
              <w:t>---&gt;</w:t>
            </w:r>
            <w:r>
              <w:rPr>
                <w:rFonts w:hint="eastAsia" w:ascii="宋体" w:hAnsi="宋体" w:eastAsia="宋体" w:cs="宋体"/>
                <w:sz w:val="24"/>
                <w:szCs w:val="24"/>
                <w:bdr w:val="single" w:sz="4" w:space="0"/>
                <w:shd w:val="clear" w:color="FFFFFF" w:fill="D9D9D9"/>
                <w:lang w:val="en-US" w:eastAsia="zh-CN"/>
              </w:rPr>
              <w:t>电镀（外包）</w:t>
            </w:r>
            <w:r>
              <w:rPr>
                <w:rFonts w:hint="eastAsia" w:ascii="宋体" w:hAnsi="宋体" w:cs="宋体"/>
                <w:sz w:val="24"/>
                <w:szCs w:val="24"/>
                <w:lang w:val="en-US" w:eastAsia="zh-CN"/>
              </w:rPr>
              <w:t>--&gt;</w:t>
            </w:r>
            <w:r>
              <w:rPr>
                <w:rFonts w:hint="eastAsia" w:ascii="宋体" w:hAnsi="宋体" w:eastAsia="宋体" w:cs="宋体"/>
                <w:sz w:val="24"/>
                <w:szCs w:val="24"/>
                <w:bdr w:val="single" w:sz="4" w:space="0"/>
                <w:shd w:val="clear" w:color="FFFFFF" w:fill="D9D9D9"/>
                <w:lang w:val="en-US" w:eastAsia="zh-CN"/>
              </w:rPr>
              <w:t>检查</w:t>
            </w:r>
            <w:r>
              <w:rPr>
                <w:rFonts w:hint="eastAsia" w:ascii="宋体" w:hAnsi="宋体" w:cs="宋体"/>
                <w:sz w:val="24"/>
                <w:szCs w:val="24"/>
                <w:lang w:val="en-US" w:eastAsia="zh-CN"/>
              </w:rPr>
              <w:t>--&gt;</w:t>
            </w:r>
            <w:r>
              <w:rPr>
                <w:rFonts w:hint="eastAsia" w:ascii="宋体" w:hAnsi="宋体" w:eastAsia="宋体" w:cs="宋体"/>
                <w:sz w:val="24"/>
                <w:szCs w:val="24"/>
                <w:bdr w:val="single" w:sz="4" w:space="0"/>
                <w:shd w:val="clear" w:color="FFFFFF" w:fill="D9D9D9"/>
                <w:lang w:val="en-US" w:eastAsia="zh-CN"/>
              </w:rPr>
              <w:t>交付</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五金冲压件的生产</w:t>
            </w:r>
          </w:p>
        </w:tc>
        <w:tc>
          <w:tcPr>
            <w:tcW w:w="2006" w:type="dxa"/>
            <w:gridSpan w:val="3"/>
            <w:vAlign w:val="center"/>
          </w:tcPr>
          <w:p>
            <w:pPr>
              <w:spacing w:line="400" w:lineRule="exact"/>
              <w:rPr>
                <w:rFonts w:ascii="宋体" w:hAnsi="宋体"/>
                <w:b/>
                <w:color w:val="000000"/>
                <w:szCs w:val="21"/>
              </w:rPr>
            </w:pPr>
            <w:bookmarkStart w:id="36" w:name="专业代码"/>
            <w:r>
              <w:rPr>
                <w:rFonts w:hint="eastAsia" w:ascii="宋体" w:hAnsi="宋体" w:cs="宋体"/>
                <w:color w:val="000000"/>
                <w:kern w:val="0"/>
                <w:szCs w:val="24"/>
              </w:rPr>
              <w:t>17.09.00</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bookmarkStart w:id="38" w:name="_GoBack"/>
            <w:bookmarkEnd w:id="38"/>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ascii="宋体" w:hAnsi="宋体" w:eastAsia="Times New Roman" w:cs="宋体"/>
                <w:color w:val="000000"/>
                <w:kern w:val="0"/>
                <w:sz w:val="20"/>
                <w:szCs w:val="21"/>
                <w:lang w:val="de-DE" w:eastAsia="ja-JP" w:bidi="ar-SA"/>
              </w:rPr>
            </w:pPr>
            <w:r>
              <w:rPr>
                <w:rFonts w:hint="eastAsia" w:ascii="宋体" w:hAnsi="宋体" w:eastAsia="Times New Roman" w:cs="宋体"/>
                <w:color w:val="000000"/>
                <w:kern w:val="0"/>
                <w:sz w:val="20"/>
                <w:szCs w:val="21"/>
                <w:lang w:val="en-GB" w:eastAsia="de-DE" w:bidi="ar-SA"/>
              </w:rPr>
              <w:t>南皮县木桥电子器件厂</w:t>
            </w:r>
            <w:r>
              <w:rPr>
                <w:rFonts w:hint="eastAsia" w:ascii="宋体" w:hAnsi="宋体" w:eastAsia="Times New Roman" w:cs="宋体"/>
                <w:color w:val="000000"/>
                <w:kern w:val="0"/>
                <w:sz w:val="20"/>
                <w:szCs w:val="21"/>
                <w:lang w:val="en-US" w:eastAsia="zh-CN" w:bidi="ar-SA"/>
              </w:rPr>
              <w:t>/</w:t>
            </w:r>
            <w:r>
              <w:rPr>
                <w:rFonts w:hint="eastAsia" w:ascii="宋体" w:hAnsi="宋体" w:eastAsia="Times New Roman" w:cs="宋体"/>
                <w:color w:val="000000"/>
                <w:kern w:val="0"/>
                <w:sz w:val="20"/>
                <w:szCs w:val="21"/>
                <w:lang w:val="en-GB" w:eastAsia="de-DE" w:bidi="ar-SA"/>
              </w:rPr>
              <w:t>南皮县冯家口镇木架桥村</w:t>
            </w:r>
          </w:p>
        </w:tc>
        <w:tc>
          <w:tcPr>
            <w:tcW w:w="2267" w:type="dxa"/>
          </w:tcPr>
          <w:p>
            <w:pPr>
              <w:spacing w:before="40" w:after="40"/>
              <w:rPr>
                <w:rFonts w:hint="eastAsia" w:ascii="宋体" w:hAnsi="宋体" w:eastAsia="Times New Roman" w:cs="宋体"/>
                <w:color w:val="000000"/>
                <w:kern w:val="0"/>
                <w:sz w:val="20"/>
                <w:szCs w:val="21"/>
                <w:lang w:val="de-DE" w:eastAsia="ja-JP" w:bidi="ar-SA"/>
              </w:rPr>
            </w:pPr>
            <w:r>
              <w:rPr>
                <w:rFonts w:hint="eastAsia" w:ascii="宋体" w:hAnsi="宋体" w:eastAsia="Times New Roman" w:cs="宋体"/>
                <w:color w:val="000000"/>
                <w:kern w:val="0"/>
                <w:sz w:val="20"/>
                <w:szCs w:val="21"/>
                <w:lang w:val="en-GB" w:eastAsia="de-DE" w:bidi="ar-SA"/>
              </w:rPr>
              <w:t>南皮县冯家口镇木架桥村</w:t>
            </w:r>
          </w:p>
        </w:tc>
        <w:tc>
          <w:tcPr>
            <w:tcW w:w="571" w:type="dxa"/>
            <w:vAlign w:val="center"/>
          </w:tcPr>
          <w:p>
            <w:pPr>
              <w:spacing w:before="40" w:after="40"/>
              <w:rPr>
                <w:rFonts w:hint="default" w:ascii="宋体" w:hAnsi="宋体" w:eastAsia="Times New Roman" w:cs="宋体"/>
                <w:color w:val="000000"/>
                <w:kern w:val="0"/>
                <w:sz w:val="20"/>
                <w:szCs w:val="21"/>
                <w:lang w:val="en-US" w:eastAsia="zh-CN" w:bidi="ar-SA"/>
              </w:rPr>
            </w:pPr>
            <w:r>
              <w:rPr>
                <w:rFonts w:hint="eastAsia" w:ascii="宋体" w:hAnsi="宋体" w:eastAsia="Times New Roman" w:cs="宋体"/>
                <w:color w:val="000000"/>
                <w:kern w:val="0"/>
                <w:sz w:val="20"/>
                <w:szCs w:val="21"/>
                <w:lang w:val="en-US" w:eastAsia="zh-CN" w:bidi="ar-SA"/>
              </w:rPr>
              <w:t>10</w:t>
            </w:r>
          </w:p>
        </w:tc>
        <w:tc>
          <w:tcPr>
            <w:tcW w:w="2803" w:type="dxa"/>
            <w:vAlign w:val="center"/>
          </w:tcPr>
          <w:p>
            <w:pPr>
              <w:pStyle w:val="19"/>
              <w:rPr>
                <w:rFonts w:hint="eastAsia" w:ascii="宋体" w:hAnsi="宋体" w:eastAsia="Times New Roman" w:cs="宋体"/>
                <w:color w:val="000000"/>
                <w:kern w:val="0"/>
                <w:sz w:val="20"/>
                <w:szCs w:val="21"/>
                <w:lang w:val="en-US" w:eastAsia="ja-JP" w:bidi="ar-SA"/>
              </w:rPr>
            </w:pPr>
            <w:r>
              <w:rPr>
                <w:rFonts w:hint="eastAsia" w:ascii="宋体" w:hAnsi="宋体" w:eastAsia="Times New Roman" w:cs="宋体"/>
                <w:color w:val="000000"/>
                <w:kern w:val="0"/>
                <w:sz w:val="20"/>
                <w:szCs w:val="21"/>
                <w:lang w:val="en-GB" w:eastAsia="de-DE" w:bidi="ar-SA"/>
              </w:rPr>
              <w:t>五金冲压件的生产</w:t>
            </w:r>
          </w:p>
        </w:tc>
        <w:tc>
          <w:tcPr>
            <w:tcW w:w="669" w:type="dxa"/>
            <w:vAlign w:val="center"/>
          </w:tcPr>
          <w:p>
            <w:pPr>
              <w:spacing w:before="40" w:after="40"/>
              <w:rPr>
                <w:rFonts w:hint="eastAsia" w:ascii="宋体" w:hAnsi="宋体" w:eastAsia="Times New Roman" w:cs="宋体"/>
                <w:color w:val="000000"/>
                <w:kern w:val="0"/>
                <w:sz w:val="20"/>
                <w:szCs w:val="21"/>
                <w:lang w:val="en-GB" w:eastAsia="ja-JP" w:bidi="ar-SA"/>
              </w:rPr>
            </w:pPr>
            <w:r>
              <w:rPr>
                <w:rFonts w:hint="eastAsia" w:ascii="宋体" w:hAnsi="宋体" w:eastAsia="Times New Roman" w:cs="宋体"/>
                <w:color w:val="000000"/>
                <w:kern w:val="0"/>
                <w:sz w:val="20"/>
                <w:szCs w:val="21"/>
                <w:lang w:val="de-DE" w:eastAsia="de-DE" w:bidi="ar-SA"/>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color w:val="000000"/>
                <w:spacing w:val="-10"/>
                <w:szCs w:val="21"/>
              </w:rPr>
              <w:sym w:font="Wingdings 2" w:char="0052"/>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color w:val="000000"/>
                <w:spacing w:val="-10"/>
                <w:szCs w:val="21"/>
              </w:rPr>
              <w:sym w:font="Wingdings 2" w:char="0052"/>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color w:val="000000"/>
                <w:spacing w:val="-10"/>
                <w:szCs w:val="21"/>
              </w:rPr>
              <w:sym w:font="Wingdings 2" w:char="0052"/>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color w:val="000000"/>
                <w:spacing w:val="-10"/>
                <w:szCs w:val="21"/>
              </w:rPr>
              <w:sym w:font="Wingdings 2" w:char="0052"/>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color w:val="000000"/>
                <w:spacing w:val="-10"/>
                <w:szCs w:val="21"/>
              </w:rPr>
              <w:sym w:font="Wingdings 2" w:char="0052"/>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年10月28日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r>
              <w:rPr>
                <w:rFonts w:hint="eastAsia" w:ascii="宋体" w:hAnsi="宋体"/>
                <w:color w:val="000000"/>
                <w:szCs w:val="21"/>
                <w:lang w:val="en-US" w:eastAsia="zh-CN"/>
              </w:rPr>
              <w:t>8.3</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r>
              <w:rPr>
                <w:rFonts w:hint="eastAsia" w:ascii="宋体" w:hAnsi="宋体"/>
                <w:color w:val="000000"/>
                <w:szCs w:val="21"/>
                <w:lang w:eastAsia="zh-CN"/>
              </w:rPr>
              <w:t>：</w:t>
            </w:r>
            <w:r>
              <w:rPr>
                <w:rFonts w:hint="eastAsia"/>
                <w:color w:val="000000"/>
                <w:szCs w:val="18"/>
                <w:u w:val="single"/>
              </w:rPr>
              <w:t xml:space="preserve"> 公司生产的产品是按国标生产，工艺成熟稳定，不需要进行设计开发，不承担产品的“设计和开发”过程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成型过程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成型过程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电镀、产品运输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2021-11-0</w:t>
            </w:r>
            <w:bookmarkEnd w:id="37"/>
            <w:r>
              <w:rPr>
                <w:rFonts w:hint="eastAsia" w:ascii="宋体"/>
                <w:b/>
                <w:color w:val="000000"/>
                <w:szCs w:val="21"/>
                <w:lang w:val="en-US" w:eastAsia="zh-CN"/>
              </w:rPr>
              <w:t>9下午至2021-11-10上午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 w:val="24"/>
        </w:rPr>
        <w:pict>
          <v:shape id="_x0000_s1026" o:spid="_x0000_s1026" o:spt="202" type="#_x0000_t202" style="position:absolute;left:0pt;margin-left:134.15pt;margin-top:21.1pt;height:42.6pt;width:90.6pt;z-index:251659264;mso-width-relative:page;mso-height-relative:page;" fillcolor="#FFFFFF" filled="t" stroked="f" coordsize="21600,21600">
            <v:path/>
            <v:fill on="t" focussize="0,0"/>
            <v:stroke on="f"/>
            <v:imagedata o:title=""/>
            <o:lock v:ext="edit" aspectratio="f"/>
            <v:textbox>
              <w:txbxContent>
                <w:p>
                  <w:r>
                    <w:rPr>
                      <w:rFonts w:hint="eastAsia" w:ascii="宋体" w:hAnsi="宋体"/>
                      <w:b/>
                      <w:szCs w:val="21"/>
                    </w:rPr>
                    <w:drawing>
                      <wp:inline distT="0" distB="0" distL="114300" distR="114300">
                        <wp:extent cx="554990" cy="297815"/>
                        <wp:effectExtent l="0" t="0" r="8890" b="6985"/>
                        <wp:docPr id="1" name="图片 1" descr="f9a15e2ac3ed427a831890882f921f5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a15e2ac3ed427a831890882f921f5_副本"/>
                                <pic:cNvPicPr>
                                  <a:picLocks noChangeAspect="1"/>
                                </pic:cNvPicPr>
                              </pic:nvPicPr>
                              <pic:blipFill>
                                <a:blip r:embed="rId6"/>
                                <a:stretch>
                                  <a:fillRect/>
                                </a:stretch>
                              </pic:blipFill>
                              <pic:spPr>
                                <a:xfrm>
                                  <a:off x="0" y="0"/>
                                  <a:ext cx="554990" cy="297815"/>
                                </a:xfrm>
                                <a:prstGeom prst="rect">
                                  <a:avLst/>
                                </a:prstGeom>
                                <a:noFill/>
                                <a:ln>
                                  <a:noFill/>
                                </a:ln>
                              </pic:spPr>
                            </pic:pic>
                          </a:graphicData>
                        </a:graphic>
                      </wp:inline>
                    </w:drawing>
                  </w:r>
                </w:p>
              </w:txbxContent>
            </v:textbox>
          </v:shape>
        </w:pict>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2021-11-8</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503"/>
        <w:gridCol w:w="28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2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8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center"/>
              <w:rPr>
                <w:rFonts w:hint="default" w:ascii="宋体" w:eastAsia="宋体"/>
                <w:color w:val="000000"/>
                <w:sz w:val="21"/>
                <w:szCs w:val="21"/>
                <w:lang w:val="en-US" w:eastAsia="zh-CN"/>
              </w:rPr>
            </w:pPr>
            <w:r>
              <w:rPr>
                <w:rFonts w:hint="eastAsia" w:ascii="宋体"/>
                <w:color w:val="000000"/>
                <w:sz w:val="21"/>
                <w:szCs w:val="21"/>
                <w:lang w:val="en-US" w:eastAsia="zh-CN"/>
              </w:rPr>
              <w:t>1</w:t>
            </w:r>
          </w:p>
        </w:tc>
        <w:tc>
          <w:tcPr>
            <w:tcW w:w="4291" w:type="dxa"/>
            <w:gridSpan w:val="2"/>
            <w:vAlign w:val="center"/>
          </w:tcPr>
          <w:p>
            <w:pPr>
              <w:pStyle w:val="6"/>
              <w:pBdr>
                <w:bottom w:val="none" w:color="auto" w:sz="0" w:space="0"/>
              </w:pBdr>
              <w:tabs>
                <w:tab w:val="center" w:pos="5737"/>
                <w:tab w:val="clear" w:pos="4153"/>
              </w:tabs>
              <w:jc w:val="center"/>
              <w:rPr>
                <w:rFonts w:hint="default" w:eastAsia="宋体"/>
                <w:color w:val="000000"/>
                <w:sz w:val="21"/>
                <w:szCs w:val="21"/>
                <w:lang w:val="en-US" w:eastAsia="zh-CN"/>
              </w:rPr>
            </w:pPr>
            <w:r>
              <w:rPr>
                <w:rFonts w:hint="eastAsia"/>
                <w:color w:val="000000"/>
                <w:sz w:val="21"/>
                <w:szCs w:val="21"/>
                <w:lang w:val="en-US" w:eastAsia="zh-CN"/>
              </w:rPr>
              <w:t>外包过程识别不全</w:t>
            </w:r>
          </w:p>
        </w:tc>
        <w:tc>
          <w:tcPr>
            <w:tcW w:w="2822" w:type="dxa"/>
            <w:vAlign w:val="center"/>
          </w:tcPr>
          <w:p>
            <w:pPr>
              <w:pStyle w:val="6"/>
              <w:pBdr>
                <w:bottom w:val="none" w:color="auto" w:sz="0" w:space="0"/>
              </w:pBdr>
              <w:ind w:right="600"/>
              <w:jc w:val="center"/>
              <w:rPr>
                <w:color w:val="000000"/>
                <w:sz w:val="21"/>
                <w:szCs w:val="21"/>
              </w:rPr>
            </w:pPr>
            <w:r>
              <w:rPr>
                <w:rFonts w:hint="eastAsia" w:ascii="宋体" w:hAnsi="宋体"/>
                <w:b/>
                <w:color w:val="000000"/>
                <w:szCs w:val="21"/>
                <w:lang w:val="de-DE"/>
              </w:rPr>
              <w:t>GB/T19001-2016</w:t>
            </w:r>
          </w:p>
        </w:tc>
        <w:tc>
          <w:tcPr>
            <w:tcW w:w="1133" w:type="dxa"/>
            <w:vAlign w:val="center"/>
          </w:tcPr>
          <w:p>
            <w:pPr>
              <w:pStyle w:val="6"/>
              <w:pBdr>
                <w:bottom w:val="none" w:color="auto" w:sz="0" w:space="0"/>
              </w:pBdr>
              <w:ind w:right="600"/>
              <w:jc w:val="center"/>
              <w:rPr>
                <w:rFonts w:hint="default" w:eastAsia="宋体"/>
                <w:color w:val="000000"/>
                <w:sz w:val="21"/>
                <w:szCs w:val="21"/>
                <w:lang w:val="en-US" w:eastAsia="zh-CN"/>
              </w:rPr>
            </w:pPr>
            <w:r>
              <w:rPr>
                <w:rFonts w:hint="eastAsia"/>
                <w:color w:val="000000"/>
                <w:sz w:val="21"/>
                <w:szCs w:val="21"/>
                <w:lang w:val="en-US" w:eastAsia="zh-CN"/>
              </w:rPr>
              <w:t>4.4</w:t>
            </w:r>
          </w:p>
        </w:tc>
        <w:tc>
          <w:tcPr>
            <w:tcW w:w="934" w:type="dxa"/>
            <w:vAlign w:val="center"/>
          </w:tcPr>
          <w:p>
            <w:pPr>
              <w:pStyle w:val="6"/>
              <w:pBdr>
                <w:bottom w:val="none" w:color="auto" w:sz="0" w:space="0"/>
              </w:pBdr>
              <w:ind w:right="600"/>
              <w:jc w:val="center"/>
              <w:rPr>
                <w:rFonts w:hint="eastAsia" w:eastAsia="宋体"/>
                <w:color w:val="000000"/>
                <w:sz w:val="21"/>
                <w:szCs w:val="21"/>
                <w:lang w:val="en-US" w:eastAsia="zh-CN"/>
              </w:rPr>
            </w:pPr>
            <w:r>
              <w:rPr>
                <w:rFonts w:hint="eastAsia"/>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2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8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2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8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2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8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42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28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ascii="宋体" w:hAnsi="宋体"/>
                <w:b/>
                <w:szCs w:val="21"/>
              </w:rPr>
              <w:drawing>
                <wp:anchor distT="0" distB="0" distL="114300" distR="114300" simplePos="0" relativeHeight="251660288" behindDoc="1" locked="0" layoutInCell="1" allowOverlap="1">
                  <wp:simplePos x="0" y="0"/>
                  <wp:positionH relativeFrom="column">
                    <wp:posOffset>1069340</wp:posOffset>
                  </wp:positionH>
                  <wp:positionV relativeFrom="paragraph">
                    <wp:posOffset>6350</wp:posOffset>
                  </wp:positionV>
                  <wp:extent cx="554990" cy="297815"/>
                  <wp:effectExtent l="0" t="0" r="8890" b="6985"/>
                  <wp:wrapTight wrapText="bothSides">
                    <wp:wrapPolygon>
                      <wp:start x="0" y="0"/>
                      <wp:lineTo x="0" y="20126"/>
                      <wp:lineTo x="20760" y="20126"/>
                      <wp:lineTo x="20760" y="0"/>
                      <wp:lineTo x="0" y="0"/>
                    </wp:wrapPolygon>
                  </wp:wrapTight>
                  <wp:docPr id="5" name="图片 1" descr="f9a15e2ac3ed427a831890882f921f5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f9a15e2ac3ed427a831890882f921f5_副本"/>
                          <pic:cNvPicPr>
                            <a:picLocks noChangeAspect="1"/>
                          </pic:cNvPicPr>
                        </pic:nvPicPr>
                        <pic:blipFill>
                          <a:blip r:embed="rId6"/>
                          <a:stretch>
                            <a:fillRect/>
                          </a:stretch>
                        </pic:blipFill>
                        <pic:spPr>
                          <a:xfrm>
                            <a:off x="0" y="0"/>
                            <a:ext cx="554990" cy="29781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c>
          <w:tcPr>
            <w:tcW w:w="5392" w:type="dxa"/>
            <w:gridSpan w:val="4"/>
          </w:tcPr>
          <w:p>
            <w:pPr>
              <w:spacing w:line="240" w:lineRule="auto"/>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r>
              <w:rPr>
                <w:rFonts w:hint="eastAsia" w:eastAsia="宋体"/>
                <w:b/>
                <w:color w:val="000000"/>
                <w:szCs w:val="21"/>
                <w:lang w:eastAsia="zh-CN"/>
              </w:rPr>
              <w:drawing>
                <wp:inline distT="0" distB="0" distL="114300" distR="114300">
                  <wp:extent cx="585470" cy="283210"/>
                  <wp:effectExtent l="0" t="0" r="8890" b="6350"/>
                  <wp:docPr id="4" name="图片 4" descr="微信图片_2021110918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1109181602"/>
                          <pic:cNvPicPr>
                            <a:picLocks noChangeAspect="1"/>
                          </pic:cNvPicPr>
                        </pic:nvPicPr>
                        <pic:blipFill>
                          <a:blip r:embed="rId7">
                            <a:biLevel thresh="50000"/>
                          </a:blip>
                          <a:srcRect l="-297" t="29447" r="36832" b="2627"/>
                          <a:stretch>
                            <a:fillRect/>
                          </a:stretch>
                        </pic:blipFill>
                        <pic:spPr>
                          <a:xfrm>
                            <a:off x="0" y="0"/>
                            <a:ext cx="585470" cy="283210"/>
                          </a:xfrm>
                          <a:prstGeom prst="rect">
                            <a:avLst/>
                          </a:prstGeom>
                        </pic:spPr>
                      </pic:pic>
                    </a:graphicData>
                  </a:graphic>
                </wp:inline>
              </w:drawing>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sym w:font="Wingdings 2" w:char="0052"/>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b/>
                <w:szCs w:val="21"/>
              </w:rPr>
              <w:drawing>
                <wp:anchor distT="0" distB="0" distL="114300" distR="114300" simplePos="0" relativeHeight="251661312" behindDoc="1" locked="0" layoutInCell="1" allowOverlap="1">
                  <wp:simplePos x="0" y="0"/>
                  <wp:positionH relativeFrom="column">
                    <wp:posOffset>986790</wp:posOffset>
                  </wp:positionH>
                  <wp:positionV relativeFrom="paragraph">
                    <wp:posOffset>120650</wp:posOffset>
                  </wp:positionV>
                  <wp:extent cx="554990" cy="297815"/>
                  <wp:effectExtent l="0" t="0" r="8890" b="6985"/>
                  <wp:wrapTight wrapText="bothSides">
                    <wp:wrapPolygon>
                      <wp:start x="0" y="0"/>
                      <wp:lineTo x="0" y="20126"/>
                      <wp:lineTo x="20760" y="20126"/>
                      <wp:lineTo x="20760" y="0"/>
                      <wp:lineTo x="0" y="0"/>
                    </wp:wrapPolygon>
                  </wp:wrapTight>
                  <wp:docPr id="6" name="图片 1" descr="f9a15e2ac3ed427a831890882f921f5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f9a15e2ac3ed427a831890882f921f5_副本"/>
                          <pic:cNvPicPr>
                            <a:picLocks noChangeAspect="1"/>
                          </pic:cNvPicPr>
                        </pic:nvPicPr>
                        <pic:blipFill>
                          <a:blip r:embed="rId6"/>
                          <a:stretch>
                            <a:fillRect/>
                          </a:stretch>
                        </pic:blipFill>
                        <pic:spPr>
                          <a:xfrm>
                            <a:off x="0" y="0"/>
                            <a:ext cx="554990" cy="29781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242381D"/>
    <w:rsid w:val="327129B7"/>
    <w:rsid w:val="48970275"/>
    <w:rsid w:val="49FB3342"/>
    <w:rsid w:val="531B3371"/>
    <w:rsid w:val="59D457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大漠孤烟</cp:lastModifiedBy>
  <dcterms:modified xsi:type="dcterms:W3CDTF">2021-11-11T02:47:12Z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2052-11.1.0.10524</vt:lpwstr>
  </property>
</Properties>
</file>