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1158-2021-EnMs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福建隆源纺织有限公司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2021年11月14日 下午至2021年11月15日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rPr>
                <w:rFonts w:hint="eastAsia" w:ascii="宋体" w:hAnsi="宋体"/>
                <w:b/>
                <w:sz w:val="21"/>
                <w:szCs w:val="21"/>
              </w:rPr>
            </w:pPr>
            <w:r>
              <w:rPr>
                <w:rFonts w:hint="eastAsia" w:ascii="宋体" w:hAnsi="宋体"/>
                <w:b/>
                <w:color w:val="000000"/>
                <w:szCs w:val="21"/>
                <w:lang w:val="de-DE"/>
              </w:rPr>
              <w:sym w:font="Wingdings 2" w:char="0052"/>
            </w:r>
            <w:r>
              <w:rPr>
                <w:rFonts w:hint="eastAsia" w:ascii="宋体" w:hAnsi="宋体"/>
                <w:b/>
                <w:sz w:val="21"/>
                <w:szCs w:val="21"/>
              </w:rPr>
              <w:t>RB/T 102-2013 能源管理体系 纺织企业认证要求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河北石家庄市高新区富力家园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bookmarkStart w:id="34" w:name="_GoBack"/>
            <w:bookmarkEnd w:id="34"/>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福建隆源纺织有限公司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尤溪县经济开发区城西园</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365100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尤溪县经济开发区城西园</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365100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吴树天</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18150777756</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郑永清</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林济宝</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产品：纱、布、纺织原料</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eastAsia="宋体" w:cs="Times New Roman"/>
                <w:color w:val="000000"/>
                <w:szCs w:val="22"/>
                <w:highlight w:val="none"/>
                <w:lang w:val="en-US" w:eastAsia="zh-CN"/>
              </w:rPr>
              <w:t>清梳联合机组→高速并条机→计算机控制的粗纱机→高效细纱机→进口自动络筒机→仓储→出厂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纺织生产所涉及的能源管理活动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51"/>
        <w:gridCol w:w="13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2151"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2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尤溪县经济开发区城西园</w:t>
            </w:r>
          </w:p>
        </w:tc>
        <w:tc>
          <w:tcPr>
            <w:tcW w:w="2267" w:type="dxa"/>
          </w:tcPr>
          <w:p>
            <w:pPr>
              <w:spacing w:before="40" w:after="40"/>
              <w:rPr>
                <w:rFonts w:eastAsia="黑体"/>
                <w:szCs w:val="21"/>
                <w:lang w:val="de-DE" w:eastAsia="ja-JP"/>
              </w:rPr>
            </w:pPr>
            <w:r>
              <w:rPr>
                <w:sz w:val="21"/>
                <w:szCs w:val="21"/>
              </w:rPr>
              <w:t>尤溪县经济开发区城西园</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530</w:t>
            </w:r>
          </w:p>
        </w:tc>
        <w:tc>
          <w:tcPr>
            <w:tcW w:w="2151" w:type="dxa"/>
            <w:vAlign w:val="center"/>
          </w:tcPr>
          <w:p>
            <w:pPr>
              <w:pStyle w:val="22"/>
              <w:rPr>
                <w:rFonts w:eastAsia="黑体" w:cs="Arial"/>
                <w:sz w:val="21"/>
                <w:szCs w:val="21"/>
                <w:lang w:val="en-US" w:eastAsia="ja-JP"/>
              </w:rPr>
            </w:pPr>
            <w:r>
              <w:t>纺织生产所涉及的能源管理活动</w:t>
            </w:r>
          </w:p>
        </w:tc>
        <w:tc>
          <w:tcPr>
            <w:tcW w:w="1321"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年10月18日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1"/>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rPr>
              <w:t>2021-11</w:t>
            </w:r>
            <w:bookmarkEnd w:id="33"/>
            <w:r>
              <w:rPr>
                <w:rFonts w:hint="eastAsia" w:ascii="宋体"/>
                <w:b/>
                <w:color w:val="000000"/>
                <w:szCs w:val="21"/>
                <w:lang w:val="en-US" w:eastAsia="zh-CN"/>
              </w:rPr>
              <w:t>月底</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0" distR="0" simplePos="0" relativeHeight="251659264" behindDoc="0" locked="0" layoutInCell="1" allowOverlap="1">
            <wp:simplePos x="0" y="0"/>
            <wp:positionH relativeFrom="column">
              <wp:posOffset>1738630</wp:posOffset>
            </wp:positionH>
            <wp:positionV relativeFrom="paragraph">
              <wp:posOffset>-165100</wp:posOffset>
            </wp:positionV>
            <wp:extent cx="888365" cy="364490"/>
            <wp:effectExtent l="0" t="0" r="635" b="3810"/>
            <wp:wrapSquare wrapText="bothSides"/>
            <wp:docPr id="4" name="图片 4"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审核任务\电子签\李丽英电子签名.png"/>
                    <pic:cNvPicPr>
                      <a:picLocks noChangeAspect="1" noChangeArrowheads="1"/>
                    </pic:cNvPicPr>
                  </pic:nvPicPr>
                  <pic:blipFill>
                    <a:blip r:embed="rId6" cstate="print"/>
                    <a:srcRect/>
                    <a:stretch>
                      <a:fillRect/>
                    </a:stretch>
                  </pic:blipFill>
                  <pic:spPr>
                    <a:xfrm>
                      <a:off x="0" y="0"/>
                      <a:ext cx="888365" cy="364490"/>
                    </a:xfrm>
                    <a:prstGeom prst="rect">
                      <a:avLst/>
                    </a:prstGeom>
                    <a:noFill/>
                    <a:ln w="9525">
                      <a:noFill/>
                      <a:miter lim="800000"/>
                      <a:headEnd/>
                      <a:tailEnd/>
                    </a:ln>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福建隆源纺织有限公司</w:t>
      </w:r>
    </w:p>
    <w:tbl>
      <w:tblPr>
        <w:tblStyle w:val="11"/>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335"/>
        <w:gridCol w:w="1200"/>
        <w:gridCol w:w="124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noWrap w:val="0"/>
            <w:vAlign w:val="center"/>
          </w:tcPr>
          <w:p>
            <w:pPr>
              <w:snapToGrid w:val="0"/>
              <w:spacing w:line="280" w:lineRule="exact"/>
              <w:jc w:val="center"/>
              <w:rPr>
                <w:b/>
                <w:bCs/>
                <w:color w:val="000000"/>
                <w:szCs w:val="21"/>
              </w:rPr>
            </w:pPr>
            <w:r>
              <w:rPr>
                <w:rFonts w:hint="eastAsia"/>
                <w:b/>
                <w:bCs/>
                <w:color w:val="000000"/>
                <w:szCs w:val="21"/>
              </w:rPr>
              <w:t>序号</w:t>
            </w:r>
          </w:p>
        </w:tc>
        <w:tc>
          <w:tcPr>
            <w:tcW w:w="5123" w:type="dxa"/>
            <w:gridSpan w:val="2"/>
            <w:noWrap w:val="0"/>
            <w:vAlign w:val="center"/>
          </w:tcPr>
          <w:p>
            <w:pPr>
              <w:snapToGrid w:val="0"/>
              <w:spacing w:line="280" w:lineRule="exact"/>
              <w:jc w:val="center"/>
              <w:rPr>
                <w:b/>
                <w:bCs/>
                <w:color w:val="000000"/>
                <w:szCs w:val="21"/>
              </w:rPr>
            </w:pPr>
            <w:r>
              <w:rPr>
                <w:rFonts w:hint="eastAsia"/>
                <w:b/>
                <w:bCs/>
                <w:color w:val="000000"/>
                <w:szCs w:val="21"/>
              </w:rPr>
              <w:t>问题描述</w:t>
            </w:r>
          </w:p>
        </w:tc>
        <w:tc>
          <w:tcPr>
            <w:tcW w:w="1200" w:type="dxa"/>
            <w:noWrap w:val="0"/>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40" w:type="dxa"/>
            <w:noWrap w:val="0"/>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80" w:type="dxa"/>
            <w:noWrap w:val="0"/>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48" w:type="dxa"/>
            <w:noWrap w:val="0"/>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123" w:type="dxa"/>
            <w:gridSpan w:val="2"/>
            <w:noWrap w:val="0"/>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提供的内审报告显示内审有1项不符合，而管理评审报告显</w:t>
            </w:r>
            <w:r>
              <w:rPr>
                <w:rFonts w:hint="eastAsia" w:cs="Times New Roman"/>
                <w:color w:val="000000"/>
                <w:sz w:val="21"/>
                <w:szCs w:val="21"/>
                <w:lang w:val="en-US" w:eastAsia="zh-CN"/>
              </w:rPr>
              <w:t>示“内部审核共发现5个问题点（现场交流），描述不一致</w:t>
            </w:r>
          </w:p>
        </w:tc>
        <w:tc>
          <w:tcPr>
            <w:tcW w:w="1200" w:type="dxa"/>
            <w:noWrap w:val="0"/>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GB/T23331-2020</w:t>
            </w:r>
          </w:p>
        </w:tc>
        <w:tc>
          <w:tcPr>
            <w:tcW w:w="1240" w:type="dxa"/>
            <w:noWrap w:val="0"/>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5.3</w:t>
            </w:r>
          </w:p>
        </w:tc>
        <w:tc>
          <w:tcPr>
            <w:tcW w:w="980" w:type="dxa"/>
            <w:noWrap w:val="0"/>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2</w:t>
            </w:r>
          </w:p>
        </w:tc>
        <w:tc>
          <w:tcPr>
            <w:tcW w:w="5123" w:type="dxa"/>
            <w:gridSpan w:val="2"/>
            <w:noWrap w:val="0"/>
            <w:vAlign w:val="center"/>
          </w:tcPr>
          <w:p>
            <w:pPr>
              <w:pStyle w:val="10"/>
              <w:ind w:left="0" w:leftChars="0" w:firstLine="0" w:firstLineChars="0"/>
              <w:rPr>
                <w:rFonts w:hint="default"/>
                <w:color w:val="000000"/>
                <w:sz w:val="21"/>
                <w:szCs w:val="21"/>
                <w:lang w:val="en-US" w:eastAsia="zh-CN"/>
              </w:rPr>
            </w:pPr>
            <w:r>
              <w:rPr>
                <w:rFonts w:hint="eastAsia"/>
                <w:color w:val="000000"/>
                <w:sz w:val="21"/>
                <w:szCs w:val="21"/>
                <w:lang w:val="en-US" w:eastAsia="zh-CN"/>
              </w:rPr>
              <w:t>能源评审报告目录中有附件1、</w:t>
            </w:r>
            <w:r>
              <w:rPr>
                <w:rFonts w:hint="eastAsia" w:ascii="Times New Roman" w:hAnsi="Times New Roman" w:eastAsia="宋体" w:cs="Times New Roman"/>
                <w:color w:val="000000"/>
                <w:sz w:val="21"/>
                <w:szCs w:val="21"/>
                <w:lang w:val="en-US" w:eastAsia="zh-CN"/>
              </w:rPr>
              <w:t>附件2”，</w:t>
            </w:r>
            <w:r>
              <w:rPr>
                <w:rFonts w:hint="eastAsia"/>
                <w:color w:val="000000"/>
                <w:sz w:val="21"/>
                <w:szCs w:val="21"/>
                <w:lang w:val="en-US" w:eastAsia="zh-CN"/>
              </w:rPr>
              <w:t>但未见提供相关内容</w:t>
            </w:r>
          </w:p>
        </w:tc>
        <w:tc>
          <w:tcPr>
            <w:tcW w:w="1200"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240" w:type="dxa"/>
            <w:noWrap w:val="0"/>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6.3</w:t>
            </w:r>
          </w:p>
        </w:tc>
        <w:tc>
          <w:tcPr>
            <w:tcW w:w="980"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3</w:t>
            </w:r>
          </w:p>
        </w:tc>
        <w:tc>
          <w:tcPr>
            <w:tcW w:w="51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提供的“能源管理体系法律、法规及其它要求合规性评价表”与“能源管理体系适用法律法规及其它要求清单”不一致，且有若干法律法规文件已过期未更清新</w:t>
            </w:r>
          </w:p>
        </w:tc>
        <w:tc>
          <w:tcPr>
            <w:tcW w:w="1200"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240"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4.2/9.1.2</w:t>
            </w:r>
          </w:p>
        </w:tc>
        <w:tc>
          <w:tcPr>
            <w:tcW w:w="980" w:type="dxa"/>
            <w:noWrap w:val="0"/>
            <w:vAlign w:val="center"/>
          </w:tcPr>
          <w:p>
            <w:pPr>
              <w:pStyle w:val="8"/>
              <w:pBdr>
                <w:bottom w:val="none" w:color="auto" w:sz="0" w:space="0"/>
              </w:pBdr>
              <w:ind w:right="600" w:rightChars="0"/>
              <w:jc w:val="both"/>
              <w:rPr>
                <w:rFonts w:hint="default"/>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noWrap w:val="0"/>
            <w:vAlign w:val="center"/>
          </w:tcPr>
          <w:p>
            <w:pPr>
              <w:pStyle w:val="8"/>
              <w:pBdr>
                <w:bottom w:val="none" w:color="auto" w:sz="0" w:space="0"/>
              </w:pBdr>
              <w:ind w:right="600"/>
              <w:jc w:val="both"/>
              <w:rPr>
                <w:rFonts w:hint="default" w:ascii="宋体"/>
                <w:color w:val="000000"/>
                <w:sz w:val="21"/>
                <w:szCs w:val="21"/>
                <w:lang w:val="en-US" w:eastAsia="zh-CN"/>
              </w:rPr>
            </w:pPr>
            <w:r>
              <w:rPr>
                <w:rFonts w:hint="eastAsia" w:ascii="宋体"/>
                <w:color w:val="000000"/>
                <w:sz w:val="21"/>
                <w:szCs w:val="21"/>
                <w:lang w:val="en-US" w:eastAsia="zh-CN"/>
              </w:rPr>
              <w:t>4</w:t>
            </w:r>
          </w:p>
        </w:tc>
        <w:tc>
          <w:tcPr>
            <w:tcW w:w="5123" w:type="dxa"/>
            <w:gridSpan w:val="2"/>
            <w:noWrap w:val="0"/>
            <w:vAlign w:val="center"/>
          </w:tcPr>
          <w:p>
            <w:pPr>
              <w:pStyle w:val="10"/>
              <w:ind w:left="0" w:leftChars="0" w:firstLine="0" w:firstLineChars="0"/>
              <w:rPr>
                <w:rFonts w:hint="default"/>
                <w:color w:val="000000"/>
                <w:sz w:val="21"/>
                <w:szCs w:val="21"/>
                <w:lang w:val="en-US" w:eastAsia="zh-CN"/>
              </w:rPr>
            </w:pPr>
            <w:r>
              <w:rPr>
                <w:rFonts w:hint="eastAsia"/>
                <w:color w:val="000000"/>
                <w:sz w:val="21"/>
                <w:szCs w:val="21"/>
                <w:lang w:val="en-US" w:eastAsia="zh-CN"/>
              </w:rPr>
              <w:t>提供的“</w:t>
            </w:r>
            <w:r>
              <w:rPr>
                <w:rFonts w:hint="eastAsia" w:ascii="Times New Roman" w:hAnsi="Times New Roman" w:eastAsia="宋体" w:cs="Times New Roman"/>
                <w:color w:val="000000"/>
                <w:kern w:val="2"/>
                <w:sz w:val="21"/>
                <w:szCs w:val="21"/>
                <w:lang w:val="en-US" w:eastAsia="zh-CN" w:bidi="ar-SA"/>
              </w:rPr>
              <w:t>福建隆源纺织有限公司组织机构图</w:t>
            </w:r>
            <w:r>
              <w:rPr>
                <w:rFonts w:hint="eastAsia"/>
                <w:color w:val="000000"/>
                <w:sz w:val="21"/>
                <w:szCs w:val="21"/>
                <w:lang w:val="en-US" w:eastAsia="zh-CN"/>
              </w:rPr>
              <w:t>”中包括：生产部、采购部、销售部、财务部、仓储部、行政部，而管理手册的机构图仅有生产部、采购部、财务部和办公室</w:t>
            </w:r>
          </w:p>
        </w:tc>
        <w:tc>
          <w:tcPr>
            <w:tcW w:w="1200"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GB/T23331-2020</w:t>
            </w:r>
          </w:p>
        </w:tc>
        <w:tc>
          <w:tcPr>
            <w:tcW w:w="1240" w:type="dxa"/>
            <w:noWrap w:val="0"/>
            <w:vAlign w:val="center"/>
          </w:tcPr>
          <w:p>
            <w:pPr>
              <w:pStyle w:val="8"/>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5.3</w:t>
            </w:r>
          </w:p>
        </w:tc>
        <w:tc>
          <w:tcPr>
            <w:tcW w:w="980" w:type="dxa"/>
            <w:noWrap w:val="0"/>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1" w:type="dxa"/>
            <w:gridSpan w:val="6"/>
            <w:noWrap w:val="0"/>
            <w:vAlign w:val="top"/>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noWrap w:val="0"/>
            <w:vAlign w:val="top"/>
          </w:tcPr>
          <w:p>
            <w:pPr>
              <w:spacing w:line="280" w:lineRule="exact"/>
              <w:rPr>
                <w:b/>
                <w:color w:val="000000"/>
                <w:szCs w:val="21"/>
              </w:rPr>
            </w:pPr>
            <w:r>
              <w:rPr>
                <w:rFonts w:hint="eastAsia"/>
                <w:b/>
                <w:color w:val="000000"/>
                <w:szCs w:val="21"/>
              </w:rPr>
              <w:t>审核组长：</w:t>
            </w:r>
            <w:r>
              <w:drawing>
                <wp:anchor distT="0" distB="0" distL="0" distR="0" simplePos="0" relativeHeight="251658240" behindDoc="0" locked="0" layoutInCell="1" allowOverlap="1">
                  <wp:simplePos x="0" y="0"/>
                  <wp:positionH relativeFrom="column">
                    <wp:posOffset>669290</wp:posOffset>
                  </wp:positionH>
                  <wp:positionV relativeFrom="paragraph">
                    <wp:posOffset>-73660</wp:posOffset>
                  </wp:positionV>
                  <wp:extent cx="888365" cy="212725"/>
                  <wp:effectExtent l="0" t="0" r="635" b="3175"/>
                  <wp:wrapSquare wrapText="bothSides"/>
                  <wp:docPr id="1"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审核任务\电子签\李丽英电子签名.png"/>
                          <pic:cNvPicPr>
                            <a:picLocks noChangeAspect="1"/>
                          </pic:cNvPicPr>
                        </pic:nvPicPr>
                        <pic:blipFill>
                          <a:blip r:embed="rId6"/>
                          <a:stretch>
                            <a:fillRect/>
                          </a:stretch>
                        </pic:blipFill>
                        <pic:spPr>
                          <a:xfrm>
                            <a:off x="0" y="0"/>
                            <a:ext cx="888365" cy="212725"/>
                          </a:xfrm>
                          <a:prstGeom prst="rect">
                            <a:avLst/>
                          </a:prstGeom>
                          <a:noFill/>
                          <a:ln>
                            <a:noFill/>
                          </a:ln>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4755" w:type="dxa"/>
            <w:gridSpan w:val="4"/>
            <w:noWrap w:val="0"/>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491" w:type="dxa"/>
            <w:gridSpan w:val="6"/>
            <w:noWrap w:val="0"/>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491" w:type="dxa"/>
            <w:gridSpan w:val="6"/>
            <w:noWrap w:val="0"/>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1" w:type="dxa"/>
            <w:gridSpan w:val="6"/>
            <w:noWrap w:val="0"/>
            <w:vAlign w:val="top"/>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4DF6A3B"/>
    <w:rsid w:val="1956740D"/>
    <w:rsid w:val="26284BCA"/>
    <w:rsid w:val="2D663404"/>
    <w:rsid w:val="435006AF"/>
    <w:rsid w:val="69E27F57"/>
    <w:rsid w:val="6F937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4">
    <w:name w:val="Body Text"/>
    <w:basedOn w:val="1"/>
    <w:qFormat/>
    <w:uiPriority w:val="0"/>
    <w:rPr>
      <w:sz w:val="24"/>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10">
    <w:name w:val="Body Text First Indent"/>
    <w:basedOn w:val="4"/>
    <w:unhideWhenUsed/>
    <w:qFormat/>
    <w:uiPriority w:val="99"/>
    <w:pPr>
      <w:ind w:firstLine="420" w:firstLineChars="100"/>
    </w:p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2021-11-15T16:05:38Z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