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1124-2021-EnMs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福建顺源纺织有限公司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2021年11月13日 上午至2021年11月14日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8" w:name="Q勾选Add2"/>
            <w:r>
              <w:rPr>
                <w:rFonts w:hint="eastAsia" w:ascii="宋体" w:hAnsi="宋体"/>
                <w:b/>
                <w:color w:val="000000"/>
                <w:szCs w:val="21"/>
                <w:lang w:val="de-DE"/>
              </w:rPr>
              <w:t>□</w:t>
            </w:r>
            <w:bookmarkEnd w:id="8"/>
            <w:r>
              <w:rPr>
                <w:rFonts w:hint="eastAsia" w:ascii="宋体" w:hAnsi="宋体"/>
                <w:b/>
                <w:color w:val="000000"/>
                <w:szCs w:val="21"/>
                <w:lang w:val="de-DE"/>
              </w:rPr>
              <w:t>GB/T19001-2016</w:t>
            </w:r>
            <w:bookmarkStart w:id="9" w:name="QJ勾选Add2"/>
            <w:r>
              <w:rPr>
                <w:rFonts w:hint="eastAsia" w:ascii="宋体" w:hAnsi="宋体"/>
                <w:b/>
                <w:color w:val="000000"/>
                <w:szCs w:val="21"/>
                <w:lang w:val="de-DE"/>
              </w:rPr>
              <w:t>□</w:t>
            </w:r>
            <w:bookmarkEnd w:id="9"/>
            <w:r>
              <w:rPr>
                <w:rFonts w:hint="eastAsia" w:ascii="宋体" w:hAnsi="宋体"/>
                <w:b/>
                <w:color w:val="000000"/>
                <w:szCs w:val="21"/>
                <w:lang w:val="de-DE"/>
              </w:rPr>
              <w:t>GB/T 50430-2017</w:t>
            </w:r>
            <w:bookmarkStart w:id="10" w:name="E勾选Add2"/>
            <w:r>
              <w:rPr>
                <w:rFonts w:hint="eastAsia" w:ascii="宋体" w:hAnsi="宋体"/>
                <w:b/>
                <w:color w:val="000000"/>
                <w:szCs w:val="21"/>
                <w:lang w:val="de-DE"/>
              </w:rPr>
              <w:t>□</w:t>
            </w:r>
            <w:bookmarkEnd w:id="10"/>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1" w:name="S勾选Add2"/>
            <w:r>
              <w:rPr>
                <w:rFonts w:hint="eastAsia" w:ascii="宋体" w:hAnsi="宋体"/>
                <w:b/>
                <w:color w:val="000000"/>
                <w:szCs w:val="21"/>
                <w:lang w:val="de-DE"/>
              </w:rPr>
              <w:t>□</w:t>
            </w:r>
            <w:bookmarkEnd w:id="11"/>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default" w:ascii="宋体" w:hAnsi="宋体" w:eastAsia="宋体" w:cs="Times New Roman"/>
                <w:b/>
                <w:color w:val="000000"/>
                <w:szCs w:val="21"/>
                <w:lang w:val="en-US" w:eastAsia="zh-CN"/>
              </w:rPr>
            </w:pPr>
            <w:r>
              <w:rPr>
                <w:rFonts w:hint="eastAsia" w:ascii="宋体" w:hAnsi="宋体"/>
                <w:b/>
                <w:color w:val="000000"/>
                <w:szCs w:val="21"/>
                <w:lang w:val="de-DE"/>
              </w:rPr>
              <w:sym w:font="Wingdings 2" w:char="0052"/>
            </w:r>
            <w:r>
              <w:rPr>
                <w:rFonts w:hint="eastAsia" w:ascii="宋体" w:hAnsi="宋体" w:eastAsia="宋体" w:cs="Times New Roman"/>
                <w:b/>
                <w:color w:val="000000"/>
                <w:szCs w:val="21"/>
                <w:lang w:val="de-DE"/>
              </w:rPr>
              <w:t>RB</w:t>
            </w:r>
            <w:r>
              <w:rPr>
                <w:rFonts w:hint="eastAsia" w:ascii="宋体" w:hAnsi="宋体" w:eastAsia="宋体" w:cs="Times New Roman"/>
                <w:b/>
                <w:color w:val="000000"/>
                <w:szCs w:val="21"/>
                <w:lang w:val="en-US" w:eastAsia="zh-CN"/>
              </w:rPr>
              <w:t>102-2013102-2013 能源管理体系 纺织企业认证要求</w:t>
            </w:r>
          </w:p>
          <w:p>
            <w:pPr>
              <w:rPr>
                <w:rFonts w:ascii="宋体" w:hAnsi="宋体"/>
                <w:b/>
                <w:color w:val="000000"/>
                <w:szCs w:val="21"/>
                <w:lang w:val="de-DE"/>
              </w:rPr>
            </w:pPr>
            <w:r>
              <w:rPr>
                <w:rFonts w:hint="eastAsia" w:ascii="宋体" w:hAnsi="宋体"/>
                <w:b/>
                <w:color w:val="000000"/>
                <w:szCs w:val="21"/>
                <w:lang w:val="de-DE"/>
              </w:rPr>
              <w:t>FSMS：</w:t>
            </w:r>
            <w:bookmarkStart w:id="12" w:name="F勾选Add2"/>
            <w:r>
              <w:rPr>
                <w:rFonts w:hint="eastAsia" w:ascii="宋体" w:hAnsi="宋体"/>
                <w:b/>
                <w:color w:val="000000"/>
                <w:szCs w:val="21"/>
                <w:lang w:val="de-DE"/>
              </w:rPr>
              <w:t>□</w:t>
            </w:r>
            <w:bookmarkEnd w:id="1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3" w:name="H勾选Add2"/>
            <w:r>
              <w:rPr>
                <w:rFonts w:hint="eastAsia" w:ascii="宋体" w:hAnsi="宋体"/>
                <w:b/>
                <w:color w:val="000000"/>
                <w:szCs w:val="21"/>
                <w:lang w:val="de-DE"/>
              </w:rPr>
              <w:t>□</w:t>
            </w:r>
            <w:bookmarkEnd w:id="1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河北省石家庄市高新区昆仑大街399号富力家园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4" w:name="组织名称Add1"/>
            <w:r>
              <w:rPr>
                <w:rFonts w:ascii="宋体"/>
                <w:b/>
                <w:color w:val="000000"/>
                <w:szCs w:val="21"/>
              </w:rPr>
              <w:t>福建顺源纺织有限公司</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5" w:name="注册地址"/>
            <w:r>
              <w:rPr>
                <w:rFonts w:ascii="宋体"/>
                <w:b/>
                <w:color w:val="000000"/>
                <w:szCs w:val="21"/>
              </w:rPr>
              <w:t>福建尤溪经济开发区城西园</w:t>
            </w:r>
            <w:bookmarkEnd w:id="1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6" w:name="注册邮编"/>
            <w:r>
              <w:rPr>
                <w:rFonts w:ascii="宋体"/>
                <w:b/>
                <w:color w:val="000000"/>
                <w:szCs w:val="21"/>
              </w:rPr>
              <w:t>365114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7" w:name="生产地址"/>
            <w:bookmarkStart w:id="18" w:name="办公地址"/>
            <w:r>
              <w:rPr>
                <w:rFonts w:ascii="宋体"/>
                <w:b/>
                <w:color w:val="000000"/>
                <w:szCs w:val="21"/>
              </w:rPr>
              <w:t>福建尤溪经济开发区城西园</w:t>
            </w:r>
            <w:bookmarkEnd w:id="17"/>
            <w:bookmarkEnd w:id="1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9" w:name="办公邮编"/>
            <w:r>
              <w:rPr>
                <w:rFonts w:ascii="宋体"/>
                <w:b/>
                <w:color w:val="000000"/>
                <w:szCs w:val="21"/>
              </w:rPr>
              <w:t>365114</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0" w:name="联系人"/>
            <w:r>
              <w:rPr>
                <w:rFonts w:ascii="宋体"/>
                <w:b/>
                <w:color w:val="000000"/>
                <w:szCs w:val="21"/>
              </w:rPr>
              <w:t>黄清涛</w:t>
            </w:r>
            <w:bookmarkEnd w:id="2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1" w:name="联系人手机"/>
            <w:r>
              <w:rPr>
                <w:rFonts w:ascii="宋体"/>
                <w:b/>
                <w:color w:val="000000"/>
                <w:szCs w:val="21"/>
              </w:rPr>
              <w:t>13850861300</w:t>
            </w:r>
            <w:bookmarkEnd w:id="2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3" w:name="法人"/>
            <w:r>
              <w:rPr>
                <w:rFonts w:ascii="宋体"/>
                <w:b/>
                <w:color w:val="000000"/>
                <w:szCs w:val="21"/>
              </w:rPr>
              <w:t>郑逢源</w:t>
            </w:r>
            <w:bookmarkEnd w:id="2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4" w:name="管理者代表"/>
            <w:r>
              <w:rPr>
                <w:rFonts w:ascii="宋体"/>
                <w:b/>
                <w:color w:val="000000"/>
                <w:szCs w:val="21"/>
              </w:rPr>
              <w:t>黄清涛</w:t>
            </w:r>
            <w:bookmarkEnd w:id="2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涤纱、人棉纱、涤粘纱</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1714500" cy="3644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14500" cy="3644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涤纱、人棉纱、涤粘纱生产所涉及的相关能源管理活动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两班和三班</w:t>
            </w:r>
            <w:r>
              <w:rPr>
                <w:rFonts w:hint="eastAsia" w:ascii="宋体" w:hAnsi="宋体"/>
                <w:color w:val="000000"/>
                <w:szCs w:val="21"/>
                <w:lang w:eastAsia="zh-CN"/>
              </w:rPr>
              <w:t>）</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69"/>
        <w:gridCol w:w="680"/>
        <w:gridCol w:w="2710"/>
        <w:gridCol w:w="10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6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680"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710"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5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福建尤溪经济开发区城西园</w:t>
            </w:r>
          </w:p>
        </w:tc>
        <w:tc>
          <w:tcPr>
            <w:tcW w:w="1869" w:type="dxa"/>
          </w:tcPr>
          <w:p>
            <w:pPr>
              <w:spacing w:before="40" w:after="40"/>
              <w:rPr>
                <w:rFonts w:eastAsia="黑体"/>
                <w:szCs w:val="21"/>
                <w:lang w:val="de-DE" w:eastAsia="ja-JP"/>
              </w:rPr>
            </w:pPr>
            <w:r>
              <w:rPr>
                <w:sz w:val="21"/>
                <w:szCs w:val="21"/>
              </w:rPr>
              <w:t>福建尤溪经济开发区城西园</w:t>
            </w:r>
          </w:p>
        </w:tc>
        <w:tc>
          <w:tcPr>
            <w:tcW w:w="680" w:type="dxa"/>
            <w:vAlign w:val="center"/>
          </w:tcPr>
          <w:p>
            <w:pPr>
              <w:spacing w:before="40" w:after="40"/>
              <w:rPr>
                <w:rFonts w:hint="default" w:eastAsia="黑体"/>
                <w:szCs w:val="21"/>
                <w:lang w:val="en-US" w:eastAsia="zh-CN"/>
              </w:rPr>
            </w:pPr>
            <w:r>
              <w:rPr>
                <w:rFonts w:hint="eastAsia" w:eastAsia="黑体"/>
                <w:szCs w:val="21"/>
                <w:lang w:val="en-US" w:eastAsia="zh-CN"/>
              </w:rPr>
              <w:t>270</w:t>
            </w:r>
          </w:p>
        </w:tc>
        <w:tc>
          <w:tcPr>
            <w:tcW w:w="2710" w:type="dxa"/>
            <w:vAlign w:val="center"/>
          </w:tcPr>
          <w:p>
            <w:pPr>
              <w:pStyle w:val="22"/>
              <w:rPr>
                <w:rFonts w:eastAsia="黑体" w:cs="Arial"/>
                <w:sz w:val="21"/>
                <w:szCs w:val="21"/>
                <w:lang w:val="en-US" w:eastAsia="ja-JP"/>
              </w:rPr>
            </w:pPr>
            <w:r>
              <w:t>涤纱、人棉纱、涤粘纱生产所涉及的相关能源管理活动</w:t>
            </w:r>
          </w:p>
        </w:tc>
        <w:tc>
          <w:tcPr>
            <w:tcW w:w="1051"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869" w:type="dxa"/>
            <w:vAlign w:val="center"/>
          </w:tcPr>
          <w:p>
            <w:pPr>
              <w:spacing w:before="40" w:after="40"/>
              <w:rPr>
                <w:rFonts w:eastAsia="黑体"/>
                <w:szCs w:val="21"/>
                <w:lang w:eastAsia="ja-JP"/>
              </w:rPr>
            </w:pPr>
          </w:p>
        </w:tc>
        <w:tc>
          <w:tcPr>
            <w:tcW w:w="680" w:type="dxa"/>
            <w:vAlign w:val="center"/>
          </w:tcPr>
          <w:p>
            <w:pPr>
              <w:spacing w:before="40" w:after="40"/>
              <w:rPr>
                <w:rFonts w:eastAsia="黑体"/>
                <w:szCs w:val="21"/>
                <w:lang w:eastAsia="ja-JP"/>
              </w:rPr>
            </w:pPr>
          </w:p>
        </w:tc>
        <w:tc>
          <w:tcPr>
            <w:tcW w:w="2710" w:type="dxa"/>
            <w:vAlign w:val="center"/>
          </w:tcPr>
          <w:p>
            <w:pPr>
              <w:spacing w:before="40" w:after="40"/>
              <w:rPr>
                <w:rFonts w:eastAsia="黑体"/>
                <w:szCs w:val="21"/>
                <w:lang w:eastAsia="ja-JP"/>
              </w:rPr>
            </w:pPr>
          </w:p>
        </w:tc>
        <w:tc>
          <w:tcPr>
            <w:tcW w:w="105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869" w:type="dxa"/>
            <w:vAlign w:val="center"/>
          </w:tcPr>
          <w:p>
            <w:pPr>
              <w:spacing w:before="40" w:after="40"/>
              <w:rPr>
                <w:rFonts w:eastAsia="黑体"/>
                <w:szCs w:val="21"/>
                <w:lang w:eastAsia="ja-JP"/>
              </w:rPr>
            </w:pPr>
          </w:p>
        </w:tc>
        <w:tc>
          <w:tcPr>
            <w:tcW w:w="680" w:type="dxa"/>
            <w:vAlign w:val="center"/>
          </w:tcPr>
          <w:p>
            <w:pPr>
              <w:spacing w:before="40" w:after="40"/>
              <w:rPr>
                <w:rFonts w:eastAsia="黑体"/>
                <w:szCs w:val="21"/>
                <w:lang w:eastAsia="ja-JP"/>
              </w:rPr>
            </w:pPr>
          </w:p>
        </w:tc>
        <w:tc>
          <w:tcPr>
            <w:tcW w:w="2710" w:type="dxa"/>
            <w:vAlign w:val="center"/>
          </w:tcPr>
          <w:p>
            <w:pPr>
              <w:spacing w:before="40" w:after="40"/>
              <w:rPr>
                <w:rFonts w:eastAsia="黑体"/>
                <w:szCs w:val="21"/>
                <w:lang w:eastAsia="ja-JP"/>
              </w:rPr>
            </w:pPr>
          </w:p>
        </w:tc>
        <w:tc>
          <w:tcPr>
            <w:tcW w:w="105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869" w:type="dxa"/>
            <w:vAlign w:val="center"/>
          </w:tcPr>
          <w:p>
            <w:pPr>
              <w:spacing w:before="40" w:after="40"/>
              <w:rPr>
                <w:rFonts w:eastAsia="黑体"/>
                <w:szCs w:val="21"/>
                <w:lang w:eastAsia="ja-JP"/>
              </w:rPr>
            </w:pPr>
          </w:p>
        </w:tc>
        <w:tc>
          <w:tcPr>
            <w:tcW w:w="680" w:type="dxa"/>
            <w:vAlign w:val="center"/>
          </w:tcPr>
          <w:p>
            <w:pPr>
              <w:spacing w:before="40" w:after="40"/>
              <w:rPr>
                <w:rFonts w:eastAsia="黑体"/>
                <w:szCs w:val="21"/>
                <w:lang w:eastAsia="ja-JP"/>
              </w:rPr>
            </w:pPr>
          </w:p>
        </w:tc>
        <w:tc>
          <w:tcPr>
            <w:tcW w:w="2710" w:type="dxa"/>
            <w:vAlign w:val="center"/>
          </w:tcPr>
          <w:p>
            <w:pPr>
              <w:spacing w:before="40" w:after="40"/>
              <w:rPr>
                <w:rFonts w:eastAsia="黑体"/>
                <w:szCs w:val="21"/>
                <w:lang w:eastAsia="ja-JP"/>
              </w:rPr>
            </w:pPr>
          </w:p>
        </w:tc>
        <w:tc>
          <w:tcPr>
            <w:tcW w:w="105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869" w:type="dxa"/>
            <w:vAlign w:val="center"/>
          </w:tcPr>
          <w:p>
            <w:pPr>
              <w:spacing w:before="40" w:after="40"/>
              <w:rPr>
                <w:rFonts w:eastAsia="黑体"/>
                <w:szCs w:val="21"/>
                <w:lang w:eastAsia="ja-JP"/>
              </w:rPr>
            </w:pPr>
          </w:p>
        </w:tc>
        <w:tc>
          <w:tcPr>
            <w:tcW w:w="680" w:type="dxa"/>
            <w:vAlign w:val="center"/>
          </w:tcPr>
          <w:p>
            <w:pPr>
              <w:spacing w:before="40" w:after="40"/>
              <w:rPr>
                <w:rFonts w:eastAsia="黑体"/>
                <w:szCs w:val="21"/>
                <w:lang w:eastAsia="ja-JP"/>
              </w:rPr>
            </w:pPr>
          </w:p>
        </w:tc>
        <w:tc>
          <w:tcPr>
            <w:tcW w:w="2710" w:type="dxa"/>
            <w:vAlign w:val="center"/>
          </w:tcPr>
          <w:p>
            <w:pPr>
              <w:spacing w:before="40" w:after="40"/>
              <w:rPr>
                <w:rFonts w:eastAsia="黑体"/>
                <w:szCs w:val="21"/>
                <w:lang w:eastAsia="ja-JP"/>
              </w:rPr>
            </w:pPr>
          </w:p>
        </w:tc>
        <w:tc>
          <w:tcPr>
            <w:tcW w:w="105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1"/>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不涉及</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5" w:name="二阶段审核日期"/>
            <w:r>
              <w:rPr>
                <w:rFonts w:hint="eastAsia" w:ascii="宋体"/>
                <w:b/>
                <w:color w:val="000000"/>
                <w:szCs w:val="21"/>
              </w:rPr>
              <w:t>2021-11</w:t>
            </w:r>
            <w:bookmarkEnd w:id="25"/>
            <w:r>
              <w:rPr>
                <w:rFonts w:hint="eastAsia" w:ascii="宋体"/>
                <w:b/>
                <w:color w:val="000000"/>
                <w:szCs w:val="21"/>
                <w:lang w:val="en-US" w:eastAsia="zh-CN"/>
              </w:rPr>
              <w:t>月底</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0" distR="0">
            <wp:extent cx="888365" cy="244475"/>
            <wp:effectExtent l="0" t="0" r="635" b="9525"/>
            <wp:docPr id="4" name="图片 4"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审核任务\电子签\李丽英电子签名.png"/>
                    <pic:cNvPicPr>
                      <a:picLocks noChangeAspect="1" noChangeArrowheads="1"/>
                    </pic:cNvPicPr>
                  </pic:nvPicPr>
                  <pic:blipFill>
                    <a:blip r:embed="rId7" cstate="print"/>
                    <a:srcRect/>
                    <a:stretch>
                      <a:fillRect/>
                    </a:stretch>
                  </pic:blipFill>
                  <pic:spPr>
                    <a:xfrm>
                      <a:off x="0" y="0"/>
                      <a:ext cx="888365" cy="244475"/>
                    </a:xfrm>
                    <a:prstGeom prst="rect">
                      <a:avLst/>
                    </a:prstGeom>
                    <a:noFill/>
                    <a:ln w="9525">
                      <a:noFill/>
                      <a:miter lim="800000"/>
                      <a:headEnd/>
                      <a:tailEnd/>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bookmarkStart w:id="26" w:name="_GoBack"/>
      <w:r>
        <w:drawing>
          <wp:inline distT="0" distB="0" distL="114300" distR="114300">
            <wp:extent cx="5757545" cy="8046085"/>
            <wp:effectExtent l="0" t="0" r="8255" b="571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5757545" cy="8046085"/>
                    </a:xfrm>
                    <a:prstGeom prst="rect">
                      <a:avLst/>
                    </a:prstGeom>
                    <a:noFill/>
                    <a:ln>
                      <a:noFill/>
                    </a:ln>
                  </pic:spPr>
                </pic:pic>
              </a:graphicData>
            </a:graphic>
          </wp:inline>
        </w:drawing>
      </w:r>
      <w:bookmarkEnd w:id="26"/>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85"/>
        <w:gridCol w:w="174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7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4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73"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提供的内审报告审核范围覆盖包括“设计部”与企业部门机构不一致</w:t>
            </w:r>
          </w:p>
        </w:tc>
        <w:tc>
          <w:tcPr>
            <w:tcW w:w="1740"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GB/T23331-2020</w:t>
            </w:r>
          </w:p>
        </w:tc>
        <w:tc>
          <w:tcPr>
            <w:tcW w:w="1133"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5.3</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48" w:type="dxa"/>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2</w:t>
            </w:r>
          </w:p>
        </w:tc>
        <w:tc>
          <w:tcPr>
            <w:tcW w:w="5373" w:type="dxa"/>
            <w:gridSpan w:val="2"/>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管理评审报告中显示“</w:t>
            </w:r>
            <w:r>
              <w:rPr>
                <w:rFonts w:hint="eastAsia" w:eastAsia="宋体" w:cs="Times New Roman"/>
                <w:color w:val="000000"/>
                <w:sz w:val="21"/>
                <w:szCs w:val="21"/>
                <w:lang w:val="en-US" w:eastAsia="zh-CN"/>
              </w:rPr>
              <w:t>8月20-21日进行了能源管理体系建立以来的第一次内部审核”，而内审报告显示“审核日期2021年9月10日”</w:t>
            </w:r>
          </w:p>
        </w:tc>
        <w:tc>
          <w:tcPr>
            <w:tcW w:w="1740" w:type="dxa"/>
            <w:vAlign w:val="center"/>
          </w:tcPr>
          <w:p>
            <w:pPr>
              <w:pStyle w:val="8"/>
              <w:pBdr>
                <w:bottom w:val="none" w:color="auto" w:sz="0" w:space="0"/>
              </w:pBdr>
              <w:tabs>
                <w:tab w:val="center" w:pos="5737"/>
                <w:tab w:val="clear" w:pos="4153"/>
              </w:tabs>
              <w:jc w:val="both"/>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GB/T23331-2020</w:t>
            </w:r>
          </w:p>
        </w:tc>
        <w:tc>
          <w:tcPr>
            <w:tcW w:w="1133"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9.2</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48" w:type="dxa"/>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3</w:t>
            </w:r>
          </w:p>
        </w:tc>
        <w:tc>
          <w:tcPr>
            <w:tcW w:w="5373" w:type="dxa"/>
            <w:gridSpan w:val="2"/>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能源评审报告编制时间为2020年11月10日，但报告内容显示</w:t>
            </w:r>
            <w:r>
              <w:rPr>
                <w:rFonts w:hint="eastAsia" w:eastAsia="宋体" w:cs="Times New Roman"/>
                <w:color w:val="000000"/>
                <w:sz w:val="21"/>
                <w:szCs w:val="21"/>
                <w:lang w:val="en-US" w:eastAsia="zh-CN"/>
              </w:rPr>
              <w:t>“评审期：2020年1月1日～2020年12月31日”数</w:t>
            </w:r>
            <w:r>
              <w:rPr>
                <w:rFonts w:hint="eastAsia"/>
                <w:color w:val="000000"/>
                <w:sz w:val="21"/>
                <w:szCs w:val="21"/>
                <w:lang w:val="en-US" w:eastAsia="zh-CN"/>
              </w:rPr>
              <w:t>据如何获取？</w:t>
            </w:r>
          </w:p>
        </w:tc>
        <w:tc>
          <w:tcPr>
            <w:tcW w:w="1740"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6.3</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5373"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能源评审报告中描述的能源方针和管理手册不对应，且管理手册的发布实施时间也不同</w:t>
            </w:r>
          </w:p>
        </w:tc>
        <w:tc>
          <w:tcPr>
            <w:tcW w:w="1740"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5.2/7.5</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5</w:t>
            </w:r>
          </w:p>
        </w:tc>
        <w:tc>
          <w:tcPr>
            <w:tcW w:w="5373" w:type="dxa"/>
            <w:gridSpan w:val="2"/>
            <w:vAlign w:val="center"/>
          </w:tcPr>
          <w:p>
            <w:pPr>
              <w:pStyle w:val="10"/>
              <w:ind w:left="0" w:leftChars="0" w:firstLine="0" w:firstLineChars="0"/>
              <w:rPr>
                <w:rFonts w:hint="default"/>
                <w:color w:val="000000"/>
                <w:sz w:val="21"/>
                <w:szCs w:val="21"/>
                <w:lang w:val="en-US" w:eastAsia="zh-CN"/>
              </w:rPr>
            </w:pPr>
            <w:r>
              <w:rPr>
                <w:rFonts w:hint="eastAsia"/>
                <w:color w:val="000000"/>
                <w:sz w:val="21"/>
                <w:szCs w:val="21"/>
                <w:lang w:val="en-US" w:eastAsia="zh-CN"/>
              </w:rPr>
              <w:t>能源评审报告中能源评审输出</w:t>
            </w:r>
            <w:r>
              <w:rPr>
                <w:rFonts w:hint="eastAsia" w:ascii="Times New Roman" w:hAnsi="Times New Roman" w:eastAsia="宋体" w:cs="Times New Roman"/>
                <w:color w:val="000000"/>
                <w:sz w:val="21"/>
                <w:szCs w:val="21"/>
                <w:lang w:val="en-US" w:eastAsia="zh-CN"/>
              </w:rPr>
              <w:t>“6.1 能源绩效参数、能源基准和能源目标指标见附件2”，</w:t>
            </w:r>
            <w:r>
              <w:rPr>
                <w:rFonts w:hint="eastAsia"/>
                <w:color w:val="000000"/>
                <w:sz w:val="21"/>
                <w:szCs w:val="21"/>
                <w:lang w:val="en-US" w:eastAsia="zh-CN"/>
              </w:rPr>
              <w:t>但未见提供附件2</w:t>
            </w:r>
          </w:p>
        </w:tc>
        <w:tc>
          <w:tcPr>
            <w:tcW w:w="1740"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6.2/6.3/6.4/6.5</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6</w:t>
            </w:r>
          </w:p>
        </w:tc>
        <w:tc>
          <w:tcPr>
            <w:tcW w:w="537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提供的“能源管理体系法律、法规及其它要求合规性评价表”与“能源管理体系适用法律法规及其它要求清单”不一致，且有若干法律法规文件已过期未更新</w:t>
            </w:r>
          </w:p>
        </w:tc>
        <w:tc>
          <w:tcPr>
            <w:tcW w:w="1740"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133"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4.2/9.1.2</w:t>
            </w:r>
          </w:p>
        </w:tc>
        <w:tc>
          <w:tcPr>
            <w:tcW w:w="934" w:type="dxa"/>
            <w:vAlign w:val="center"/>
          </w:tcPr>
          <w:p>
            <w:pPr>
              <w:pStyle w:val="8"/>
              <w:pBdr>
                <w:bottom w:val="none" w:color="auto" w:sz="0" w:space="0"/>
              </w:pBdr>
              <w:ind w:right="600" w:rightChars="0"/>
              <w:jc w:val="both"/>
              <w:rPr>
                <w:rFonts w:hint="default"/>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7</w:t>
            </w:r>
          </w:p>
        </w:tc>
        <w:tc>
          <w:tcPr>
            <w:tcW w:w="5373" w:type="dxa"/>
            <w:gridSpan w:val="2"/>
            <w:vAlign w:val="center"/>
          </w:tcPr>
          <w:p>
            <w:pPr>
              <w:pStyle w:val="10"/>
              <w:ind w:left="0" w:leftChars="0" w:firstLine="0" w:firstLineChars="0"/>
              <w:rPr>
                <w:rFonts w:hint="default"/>
                <w:color w:val="000000"/>
                <w:sz w:val="21"/>
                <w:szCs w:val="21"/>
                <w:lang w:val="en-US" w:eastAsia="zh-CN"/>
              </w:rPr>
            </w:pPr>
            <w:r>
              <w:rPr>
                <w:rFonts w:hint="eastAsia"/>
                <w:color w:val="000000"/>
                <w:sz w:val="21"/>
                <w:szCs w:val="21"/>
                <w:lang w:val="en-US" w:eastAsia="zh-CN"/>
              </w:rPr>
              <w:t>提供的“</w:t>
            </w:r>
            <w:r>
              <w:rPr>
                <w:rFonts w:hint="eastAsia" w:ascii="Times New Roman" w:hAnsi="Times New Roman" w:eastAsia="宋体" w:cs="Times New Roman"/>
                <w:color w:val="000000"/>
                <w:kern w:val="2"/>
                <w:sz w:val="21"/>
                <w:szCs w:val="21"/>
                <w:lang w:val="en-US" w:eastAsia="zh-CN" w:bidi="ar-SA"/>
              </w:rPr>
              <w:t>福建顺源纺织有限公司组织机构图</w:t>
            </w:r>
            <w:r>
              <w:rPr>
                <w:rFonts w:hint="eastAsia"/>
                <w:color w:val="000000"/>
                <w:sz w:val="21"/>
                <w:szCs w:val="21"/>
                <w:lang w:val="en-US" w:eastAsia="zh-CN"/>
              </w:rPr>
              <w:t>”中包括：生产部、采购部、销售部、财务部、安保部、仓储部、办公室，而管理手册的机构图仅有生产部、采购部、财务部和办公室</w:t>
            </w:r>
          </w:p>
        </w:tc>
        <w:tc>
          <w:tcPr>
            <w:tcW w:w="1740"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133"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5.3</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8</w:t>
            </w:r>
          </w:p>
        </w:tc>
        <w:tc>
          <w:tcPr>
            <w:tcW w:w="5373" w:type="dxa"/>
            <w:gridSpan w:val="2"/>
            <w:vAlign w:val="center"/>
          </w:tcPr>
          <w:p>
            <w:pPr>
              <w:pStyle w:val="10"/>
              <w:ind w:left="0" w:leftChars="0" w:firstLine="0" w:firstLineChars="0"/>
              <w:rPr>
                <w:rFonts w:hint="default"/>
                <w:color w:val="000000"/>
                <w:sz w:val="21"/>
                <w:szCs w:val="21"/>
                <w:lang w:val="en-US" w:eastAsia="zh-CN"/>
              </w:rPr>
            </w:pPr>
            <w:r>
              <w:rPr>
                <w:rFonts w:hint="eastAsia"/>
                <w:color w:val="000000"/>
                <w:sz w:val="21"/>
                <w:szCs w:val="21"/>
                <w:lang w:val="en-US" w:eastAsia="zh-CN"/>
              </w:rPr>
              <w:t>能源评审报告批准人为“郑逢源”但上述机构图中各部门领导并无此人</w:t>
            </w:r>
          </w:p>
        </w:tc>
        <w:tc>
          <w:tcPr>
            <w:tcW w:w="1740"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5.3</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anchor distT="0" distB="0" distL="0" distR="0" simplePos="0" relativeHeight="251658240" behindDoc="0" locked="0" layoutInCell="1" allowOverlap="1">
                  <wp:simplePos x="0" y="0"/>
                  <wp:positionH relativeFrom="column">
                    <wp:posOffset>669290</wp:posOffset>
                  </wp:positionH>
                  <wp:positionV relativeFrom="paragraph">
                    <wp:posOffset>-73660</wp:posOffset>
                  </wp:positionV>
                  <wp:extent cx="888365" cy="212725"/>
                  <wp:effectExtent l="0" t="0" r="635" b="3175"/>
                  <wp:wrapSquare wrapText="bothSides"/>
                  <wp:docPr id="5"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审核任务\电子签\李丽英电子签名.png"/>
                          <pic:cNvPicPr>
                            <a:picLocks noChangeAspect="1" noChangeArrowheads="1"/>
                          </pic:cNvPicPr>
                        </pic:nvPicPr>
                        <pic:blipFill>
                          <a:blip r:embed="rId7" cstate="print"/>
                          <a:srcRect/>
                          <a:stretch>
                            <a:fillRect/>
                          </a:stretch>
                        </pic:blipFill>
                        <pic:spPr>
                          <a:xfrm>
                            <a:off x="0" y="0"/>
                            <a:ext cx="888365" cy="212725"/>
                          </a:xfrm>
                          <a:prstGeom prst="rect">
                            <a:avLst/>
                          </a:prstGeom>
                          <a:noFill/>
                          <a:ln w="9525">
                            <a:noFill/>
                            <a:miter lim="800000"/>
                            <a:headEnd/>
                            <a:tailEnd/>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367520C"/>
    <w:rsid w:val="0C3D24A1"/>
    <w:rsid w:val="15C04610"/>
    <w:rsid w:val="1A877698"/>
    <w:rsid w:val="1AF3340E"/>
    <w:rsid w:val="205963F9"/>
    <w:rsid w:val="23414E5E"/>
    <w:rsid w:val="4BDE641B"/>
    <w:rsid w:val="4D803590"/>
    <w:rsid w:val="58576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4">
    <w:name w:val="Body Text"/>
    <w:basedOn w:val="1"/>
    <w:qFormat/>
    <w:uiPriority w:val="0"/>
    <w:rPr>
      <w:sz w:val="24"/>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paragraph" w:styleId="10">
    <w:name w:val="Body Text First Indent"/>
    <w:basedOn w:val="4"/>
    <w:unhideWhenUsed/>
    <w:qFormat/>
    <w:uiPriority w:val="99"/>
    <w:pPr>
      <w:ind w:firstLine="420" w:firstLineChars="100"/>
    </w:p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34</TotalTime>
  <ScaleCrop>false</ScaleCrop>
  <LinksUpToDate>false</LinksUpToDate>
  <CharactersWithSpaces>9455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2021-11-13T05:57:19Z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