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379E09" w14:textId="498EA59B" w:rsidR="00EE0FCD" w:rsidRDefault="00E20E25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</w:t>
      </w:r>
      <w:r w:rsidR="005F4CF7">
        <w:rPr>
          <w:szCs w:val="21"/>
          <w:u w:val="single"/>
        </w:rPr>
        <w:t>1</w:t>
      </w:r>
      <w:r>
        <w:rPr>
          <w:rFonts w:hint="eastAsia"/>
          <w:szCs w:val="21"/>
          <w:u w:val="single"/>
        </w:rPr>
        <w:t>64</w:t>
      </w:r>
      <w:r>
        <w:rPr>
          <w:szCs w:val="21"/>
          <w:u w:val="single"/>
        </w:rPr>
        <w:t>-2021</w:t>
      </w:r>
      <w:bookmarkEnd w:id="0"/>
    </w:p>
    <w:p w14:paraId="1AB6913E" w14:textId="77777777" w:rsidR="00EE0FCD" w:rsidRDefault="00E20E25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68EEC66C" w14:textId="77777777" w:rsidR="00EE0FCD" w:rsidRDefault="00E20E25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江苏鑫泉环保材料有限公司</w:t>
      </w:r>
    </w:p>
    <w:p w14:paraId="2B3F0157" w14:textId="77777777" w:rsidR="00EE0FCD" w:rsidRDefault="00E20E2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825DBF" wp14:editId="1D53344B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日下午</w:t>
      </w:r>
      <w:r>
        <w:rPr>
          <w:rFonts w:hint="eastAsia"/>
          <w:sz w:val="24"/>
          <w:szCs w:val="24"/>
        </w:rPr>
        <w:t>-17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EE0FCD" w14:paraId="1E2636A7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2B2333DC" w14:textId="77777777" w:rsidR="00EE0FCD" w:rsidRDefault="00E20E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00893CD1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2BEED2C0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0417EBC4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24BC7F48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6E6BAA68" w14:textId="77777777" w:rsidR="00EE0FCD" w:rsidRDefault="00E20E25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337557A6" w14:textId="77777777" w:rsidR="00EE0FCD" w:rsidRDefault="00E20E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37B040EA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7FB72107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2F7B0972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EE0FCD" w14:paraId="24814DFA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3B0B6F26" w14:textId="77777777" w:rsidR="00EE0FCD" w:rsidRDefault="00E20E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40B3CD69" w14:textId="77777777" w:rsidR="00EE0FCD" w:rsidRDefault="00E20E25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4CDC0F5C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31460A93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67106E2F" w14:textId="77777777" w:rsidR="00EE0FCD" w:rsidRDefault="00E20E25">
            <w:pPr>
              <w:spacing w:line="280" w:lineRule="exact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7C5FF788" w14:textId="77777777" w:rsidR="00EE0FCD" w:rsidRDefault="00E20E25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询问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质检部、生技部、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</w:rPr>
              <w:t>相关</w:t>
            </w:r>
            <w:r>
              <w:rPr>
                <w:rFonts w:hint="eastAsia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08A82348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355E32D6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9D0FFA0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61EB8CB1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7F07466C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0F9923F9" w14:textId="77777777" w:rsidR="00EE0FCD" w:rsidRDefault="00E20E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0105CB1F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564E1890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0D111DEA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64B55187" w14:textId="77777777" w:rsidR="00EE0FCD" w:rsidRDefault="00E20E25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1B0598BD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685" w:type="dxa"/>
            <w:vAlign w:val="center"/>
          </w:tcPr>
          <w:p w14:paraId="40C14554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无顾客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518D89F8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质检部</w:t>
            </w:r>
          </w:p>
          <w:p w14:paraId="3DF2E2DC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生技部</w:t>
            </w:r>
          </w:p>
          <w:p w14:paraId="29F5DDC0" w14:textId="77777777" w:rsidR="00EE0FCD" w:rsidRDefault="00E20E25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5848E1B2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6C2213AE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5525987E" w14:textId="77777777" w:rsidR="00EE0FCD" w:rsidRDefault="00E20E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1E57EBF9" w14:textId="77777777" w:rsidR="00EE0FCD" w:rsidRDefault="00E20E25">
            <w:r>
              <w:rPr>
                <w:rFonts w:hint="eastAsia"/>
              </w:rPr>
              <w:t>所查部门有无分解的质量目标？目标是否可以测量？目标未分解可不查。</w:t>
            </w:r>
          </w:p>
        </w:tc>
        <w:tc>
          <w:tcPr>
            <w:tcW w:w="1374" w:type="dxa"/>
            <w:vAlign w:val="center"/>
          </w:tcPr>
          <w:p w14:paraId="2E046CE6" w14:textId="77777777" w:rsidR="00EE0FCD" w:rsidRDefault="00E20E2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7AD28B4B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7A36B0FB" w14:textId="77777777" w:rsidR="00EE0FCD" w:rsidRDefault="00E20E25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查：企业编制《计量工作方针和质量目标实现情况》，制定质量目标6个，目标可以测量、已分解至各个部门。</w:t>
            </w:r>
          </w:p>
          <w:p w14:paraId="1F308D63" w14:textId="77777777" w:rsidR="00EE0FCD" w:rsidRDefault="00EE0FC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ACE0B7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质检部</w:t>
            </w:r>
          </w:p>
          <w:p w14:paraId="1735867A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生技部</w:t>
            </w:r>
          </w:p>
          <w:p w14:paraId="7B74C06C" w14:textId="77777777" w:rsidR="00EE0FCD" w:rsidRDefault="00E20E25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4906E1B9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80E6507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4B4689D2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3D9A7873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259E49B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7DA40BCF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</w:t>
            </w:r>
            <w:r>
              <w:rPr>
                <w:rFonts w:hint="eastAsia"/>
                <w:szCs w:val="21"/>
              </w:rPr>
              <w:lastRenderedPageBreak/>
              <w:t>件信息量、计量单位、受控情况。</w:t>
            </w:r>
          </w:p>
        </w:tc>
        <w:tc>
          <w:tcPr>
            <w:tcW w:w="1374" w:type="dxa"/>
            <w:vAlign w:val="center"/>
          </w:tcPr>
          <w:p w14:paraId="19660DFF" w14:textId="77777777" w:rsidR="00EE0FCD" w:rsidRDefault="00E20E25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6.2.1程序</w:t>
            </w:r>
          </w:p>
        </w:tc>
        <w:tc>
          <w:tcPr>
            <w:tcW w:w="3685" w:type="dxa"/>
            <w:vAlign w:val="center"/>
          </w:tcPr>
          <w:p w14:paraId="7B33A49C" w14:textId="77777777" w:rsidR="00EE0FCD" w:rsidRDefault="00E20E25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抽查：文件《骨架工艺流程》国家标准。现行有效，计量单位使用正确，并受控。符合标准要求。</w:t>
            </w:r>
          </w:p>
          <w:p w14:paraId="073EDEA0" w14:textId="77777777" w:rsidR="00EE0FCD" w:rsidRDefault="00EE0FC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EF4D9C" w14:textId="77777777" w:rsidR="00EE0FCD" w:rsidRDefault="00EE0FCD">
            <w:pPr>
              <w:jc w:val="center"/>
              <w:rPr>
                <w:rFonts w:eastAsia="新宋体"/>
                <w:szCs w:val="21"/>
              </w:rPr>
            </w:pPr>
          </w:p>
          <w:p w14:paraId="248116F7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075ACB8A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13F1D63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2D5737E8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6088A10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10A545EE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F788531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3B472DD4" w14:textId="77777777">
        <w:trPr>
          <w:trHeight w:val="1975"/>
          <w:jc w:val="center"/>
        </w:trPr>
        <w:tc>
          <w:tcPr>
            <w:tcW w:w="594" w:type="dxa"/>
            <w:vAlign w:val="center"/>
          </w:tcPr>
          <w:p w14:paraId="6A0BB0D6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5D8BF282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5CE34D3A" w14:textId="77777777" w:rsidR="00EE0FCD" w:rsidRDefault="00E20E2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685" w:type="dxa"/>
            <w:vAlign w:val="center"/>
          </w:tcPr>
          <w:p w14:paraId="17168868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查：企业暂无在使用的测量软件</w:t>
            </w:r>
          </w:p>
        </w:tc>
        <w:tc>
          <w:tcPr>
            <w:tcW w:w="1134" w:type="dxa"/>
            <w:vAlign w:val="center"/>
          </w:tcPr>
          <w:p w14:paraId="567BCB8E" w14:textId="77777777" w:rsidR="00EE0FCD" w:rsidRDefault="00EE0FCD">
            <w:pPr>
              <w:jc w:val="center"/>
              <w:rPr>
                <w:rFonts w:eastAsia="新宋体"/>
                <w:szCs w:val="21"/>
              </w:rPr>
            </w:pPr>
          </w:p>
          <w:p w14:paraId="663CF541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4B99A351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01B390F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0F68DE1A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451D4344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EAA6DE9" w14:textId="743BB167" w:rsidR="00EE0FCD" w:rsidRDefault="005F4CF7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13C323E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4B601F9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45766CC5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6B37AE0F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521D7640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《记录控制程序》，质检部负责公司各类记录的统一管理。     抽查：《袋笼检测报告》产品名称：有机硅文氏管袋笼，检验员：严天书，检验日期：2021.10.8，检验结果合格。</w:t>
            </w:r>
          </w:p>
          <w:p w14:paraId="4F4E5861" w14:textId="77777777" w:rsidR="00EE0FCD" w:rsidRDefault="00EE0FC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BA166FF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。</w:t>
            </w:r>
          </w:p>
          <w:p w14:paraId="49F8EB60" w14:textId="77777777" w:rsidR="00EE0FCD" w:rsidRDefault="00EE0FC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6A9831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2D5D733B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51A79C5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13BE6485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A22EFCD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795648C3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7E325101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6B5A906B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C6338DC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5588F742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28286AE" w14:textId="77777777" w:rsidR="00EE0FCD" w:rsidRDefault="00E20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647583AC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B493BC0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1385EC33" w14:textId="77777777" w:rsidR="00EE0FCD" w:rsidRDefault="00EE0FCD"/>
        </w:tc>
      </w:tr>
      <w:tr w:rsidR="00EE0FCD" w14:paraId="60F0C389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044A09E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23D2AF7B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64A2D29B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557664BE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3A039E19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37D4ED17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7E98542F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查1~2测量设备的有关信息，核对是否和检定证书台账信息一致。</w:t>
            </w:r>
          </w:p>
        </w:tc>
        <w:tc>
          <w:tcPr>
            <w:tcW w:w="1374" w:type="dxa"/>
            <w:vAlign w:val="center"/>
          </w:tcPr>
          <w:p w14:paraId="34E27E32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70100606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  <w:p w14:paraId="31C4076C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485D7BCC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  <w:p w14:paraId="4563187A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05AED239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  <w:p w14:paraId="1EC37647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B9D43A8" w14:textId="4B115415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查《测量设备台账》，共有7台件测量设备，分为A、B、C类管理。</w:t>
            </w:r>
            <w:r w:rsidR="0084233A">
              <w:rPr>
                <w:rFonts w:ascii="宋体" w:hAnsi="宋体" w:hint="eastAsia"/>
                <w:szCs w:val="21"/>
              </w:rPr>
              <w:t>现场在用的测量设备的计量确认合格标识齐全，完好，符合要求。</w:t>
            </w:r>
          </w:p>
          <w:p w14:paraId="6B3950E8" w14:textId="04E23E2C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抽查5台测量设备，相关信息与检定、校准证书信息一致，详见测量设备溯源抽查表，企业</w:t>
            </w:r>
            <w:r w:rsidR="005F4CF7"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>设备</w:t>
            </w:r>
            <w:r w:rsidR="005F4CF7">
              <w:rPr>
                <w:rFonts w:ascii="宋体" w:hAnsi="宋体" w:hint="eastAsia"/>
                <w:szCs w:val="21"/>
              </w:rPr>
              <w:t>使用</w:t>
            </w:r>
            <w:r>
              <w:rPr>
                <w:rFonts w:ascii="宋体" w:hAnsi="宋体" w:hint="eastAsia"/>
                <w:szCs w:val="21"/>
              </w:rPr>
              <w:t>环境无</w:t>
            </w:r>
            <w:r w:rsidR="005F4CF7">
              <w:rPr>
                <w:rFonts w:ascii="宋体" w:hAnsi="宋体" w:hint="eastAsia"/>
                <w:szCs w:val="21"/>
              </w:rPr>
              <w:t>特殊</w:t>
            </w:r>
            <w:r>
              <w:rPr>
                <w:rFonts w:ascii="宋体" w:hAnsi="宋体" w:hint="eastAsia"/>
                <w:szCs w:val="21"/>
              </w:rPr>
              <w:t>要求。</w:t>
            </w:r>
          </w:p>
          <w:p w14:paraId="10E1BC0F" w14:textId="77777777" w:rsidR="00EE0FCD" w:rsidRDefault="00EE0FC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F854F4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7DFF5BF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5E389D0" w14:textId="77777777" w:rsidR="00EE0FCD" w:rsidRDefault="00E20E25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452AB9D8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13285FAD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EEB18E9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6C276ACC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3F39113D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B573831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C1359E9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7D6D1CA1" w14:textId="77777777" w:rsidR="00EE0FCD" w:rsidRDefault="00EE0FCD">
            <w:pPr>
              <w:spacing w:line="400" w:lineRule="exact"/>
              <w:jc w:val="center"/>
            </w:pPr>
          </w:p>
          <w:p w14:paraId="5DF03649" w14:textId="77777777" w:rsidR="00EE0FCD" w:rsidRDefault="00EE0FCD">
            <w:pPr>
              <w:spacing w:line="400" w:lineRule="exact"/>
              <w:jc w:val="center"/>
            </w:pPr>
          </w:p>
          <w:p w14:paraId="635F7AA4" w14:textId="77777777" w:rsidR="00EE0FCD" w:rsidRDefault="00E20E25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EE0FCD" w14:paraId="420EC22C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F8A566F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492296DF" w14:textId="77777777" w:rsidR="00EE0FCD" w:rsidRDefault="00E20E25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企业是否建立外部供方管理文件？ </w:t>
            </w:r>
          </w:p>
          <w:p w14:paraId="4F02CBD7" w14:textId="77777777" w:rsidR="00EE0FCD" w:rsidRDefault="00E20E2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3952E759" w14:textId="77777777" w:rsidR="00EE0FCD" w:rsidRDefault="00E20E2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</w:t>
            </w:r>
          </w:p>
          <w:p w14:paraId="3C821EEB" w14:textId="77777777" w:rsidR="00EE0FCD" w:rsidRDefault="00E20E2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66E8F230" w14:textId="77777777" w:rsidR="00EE0FCD" w:rsidRDefault="00E20E2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11A00CF5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经营部、质检部</w:t>
            </w:r>
            <w:r>
              <w:rPr>
                <w:rFonts w:ascii="宋体" w:hAnsi="宋体" w:hint="eastAsia"/>
                <w:szCs w:val="21"/>
              </w:rPr>
              <w:t>负责测量设备供方和委外检定校准机构的选择、确定，</w:t>
            </w:r>
            <w:r>
              <w:rPr>
                <w:rFonts w:ascii="宋体" w:hAnsi="宋体" w:hint="eastAsia"/>
                <w:szCs w:val="21"/>
              </w:rPr>
              <w:lastRenderedPageBreak/>
              <w:t>负责对产品供方进行验证，并负责对委外检定/校准服务进行评价。</w:t>
            </w:r>
          </w:p>
          <w:p w14:paraId="441DCD99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企业编制了《供方调查评价表》，查对提供计量校准报告的</w:t>
            </w:r>
            <w:r>
              <w:rPr>
                <w:rFonts w:hint="eastAsia"/>
                <w:szCs w:val="21"/>
              </w:rPr>
              <w:t>扬州天域计量测试有限公司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46654212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经营部</w:t>
            </w:r>
          </w:p>
          <w:p w14:paraId="35A47E10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</w:tc>
        <w:tc>
          <w:tcPr>
            <w:tcW w:w="1014" w:type="dxa"/>
            <w:vAlign w:val="center"/>
          </w:tcPr>
          <w:p w14:paraId="0284F745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70D1AB2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B3BDCFD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5299BFEF" w14:textId="77777777" w:rsidR="00EE0FCD" w:rsidRDefault="00E20E2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6F650E7C" w14:textId="77777777" w:rsidR="00EE0FCD" w:rsidRDefault="00EE0FCD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12E9A303" w14:textId="77777777" w:rsidR="00EE0FCD" w:rsidRDefault="00E20E25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281F5639" w14:textId="77777777" w:rsidR="00EE0FCD" w:rsidRDefault="00EE0FC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553BA205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6BC3876F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规定了质检部负责将产品技术指标、产品标准及技术规范等，转化为可以测量的量；各部门负责测量过程的实施和控制，确定框架杆冷拉直径测量过程 为关键测量过程；生技部负责测量过程的监督管理。</w:t>
            </w:r>
          </w:p>
          <w:p w14:paraId="472FA390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企业提供了《测量过程及控制一览表》，共识别测量过程5个，分为重要测量过程和一般测量过程进行管理，其中高控测量过程2个。</w:t>
            </w:r>
          </w:p>
        </w:tc>
        <w:tc>
          <w:tcPr>
            <w:tcW w:w="1134" w:type="dxa"/>
            <w:vAlign w:val="center"/>
          </w:tcPr>
          <w:p w14:paraId="09A29712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3D8A3327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9D9400C" w14:textId="77777777" w:rsidR="00EE0FCD" w:rsidRDefault="00E20E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1E7B073F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27DB76E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6A05BB3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40EABC2B" w14:textId="77777777" w:rsidR="00EE0FCD" w:rsidRDefault="00E20E2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1374" w:type="dxa"/>
            <w:vAlign w:val="center"/>
          </w:tcPr>
          <w:p w14:paraId="084184CF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54909BBE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4AB397BF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企业建立《量值溯源管理控制程序》，质检部负责对量值溯源性的统一管理，确保所有测量结果都能溯源到SI单位标准。</w:t>
            </w:r>
          </w:p>
          <w:p w14:paraId="66D15E6A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szCs w:val="21"/>
              </w:rPr>
              <w:t>扬州天域计量测试有限公司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1134" w:type="dxa"/>
            <w:vAlign w:val="center"/>
          </w:tcPr>
          <w:p w14:paraId="091FF528" w14:textId="77777777" w:rsidR="00EE0FCD" w:rsidRDefault="00EE0FCD">
            <w:pPr>
              <w:jc w:val="center"/>
              <w:rPr>
                <w:rFonts w:eastAsia="新宋体"/>
                <w:szCs w:val="21"/>
              </w:rPr>
            </w:pPr>
          </w:p>
          <w:p w14:paraId="2A0CC18B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4669CC4F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3CFD23B" w14:textId="77777777" w:rsidR="00EE0FCD" w:rsidRDefault="00E20E25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36C111FA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57C198E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96DD9B5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7645C167" w14:textId="77777777" w:rsidR="00EE0FCD" w:rsidRDefault="00E20E2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6D1985A6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685" w:type="dxa"/>
          </w:tcPr>
          <w:p w14:paraId="07292D9D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>
              <w:rPr>
                <w:rFonts w:eastAsia="新宋体" w:hint="eastAsia"/>
                <w:szCs w:val="21"/>
              </w:rPr>
              <w:t>经营部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51C7A0B3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查：JW-9.1.2-02《顾客满意度统计表》，发出5张，收回5张。企业获得满意度98%，无投诉。达到目标要求。</w:t>
            </w:r>
          </w:p>
        </w:tc>
        <w:tc>
          <w:tcPr>
            <w:tcW w:w="1134" w:type="dxa"/>
            <w:vAlign w:val="center"/>
          </w:tcPr>
          <w:p w14:paraId="726CC37F" w14:textId="77777777" w:rsidR="00EE0FCD" w:rsidRDefault="00E20E2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5194E27C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1CE89D4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9146276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</w:tcPr>
          <w:p w14:paraId="5E1222B4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78CA4B6C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685" w:type="dxa"/>
          </w:tcPr>
          <w:p w14:paraId="03BC6DFE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为测量体系不合格控制的归口管理，并组织重大不合格的评审，为测量过程不合格、测量设备不合格控制的归口管理。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负责对测量设备不合格产品的标识、记录、隔离，并负责进行评审和处理。</w:t>
            </w:r>
          </w:p>
          <w:p w14:paraId="6ED45135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623C5756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3FEF6C76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F20CC1F" w14:textId="77777777" w:rsidR="00EE0FCD" w:rsidRDefault="00EE0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0843B8A0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90E932A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F307F36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728D02FF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6B8DC50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7E71B3A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22E6EA83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621" w:type="dxa"/>
          </w:tcPr>
          <w:p w14:paraId="0FBF7A23" w14:textId="77777777" w:rsidR="00EE0FCD" w:rsidRDefault="00EE0FC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3FBD3C53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59C00B0D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8.4改进</w:t>
            </w:r>
          </w:p>
        </w:tc>
        <w:tc>
          <w:tcPr>
            <w:tcW w:w="3685" w:type="dxa"/>
          </w:tcPr>
          <w:p w14:paraId="3774D5D4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</w:t>
            </w:r>
            <w:r>
              <w:rPr>
                <w:rFonts w:ascii="宋体" w:hAnsi="宋体" w:hint="eastAsia"/>
                <w:szCs w:val="21"/>
              </w:rPr>
              <w:lastRenderedPageBreak/>
              <w:t>程序》，规定了质检部负责公司不合格项纠正与预防措施的制定、实施、验证工作。</w:t>
            </w:r>
          </w:p>
          <w:p w14:paraId="183BF345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部门对已经发生的不合格或已发现的潜在不合格，分析原因，制定具体的纠正、预防措施，质检部应对其进行审核，权衡风险、利益和成本；对措施进行跟踪、监督、评价和验证，并做好相应的验证记录。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4EF05BF5" w14:textId="77777777" w:rsidR="00EE0FCD" w:rsidRDefault="00E20E25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 xml:space="preserve"> </w:t>
            </w:r>
          </w:p>
          <w:p w14:paraId="7604A130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质检部</w:t>
            </w:r>
          </w:p>
          <w:p w14:paraId="2AA8B0D0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2493F780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5B8ABE78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74B9DAAE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1907444B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46D3A71F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40BF1ABE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306A95CC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B0501B3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1621" w:type="dxa"/>
          </w:tcPr>
          <w:p w14:paraId="3A1F248B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57C9AD5B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6F0C531F" w14:textId="77777777" w:rsidR="00EE0FCD" w:rsidRDefault="00E20E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46DDCF03" w14:textId="77777777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企业规定了质检部负责法定计量单位的应用考核和监督检查，负责法定计量单位的宣贯和培训。</w:t>
            </w:r>
          </w:p>
          <w:p w14:paraId="465B7E95" w14:textId="70C96442" w:rsidR="00EE0FCD" w:rsidRDefault="0084233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</w:t>
            </w:r>
            <w:r w:rsidR="00E20E25">
              <w:rPr>
                <w:rFonts w:ascii="宋体" w:hAnsi="宋体" w:hint="eastAsia"/>
                <w:szCs w:val="21"/>
              </w:rPr>
              <w:t>企业</w:t>
            </w:r>
            <w:r w:rsidR="005F4CF7">
              <w:rPr>
                <w:rFonts w:ascii="宋体" w:hAnsi="宋体" w:hint="eastAsia"/>
                <w:szCs w:val="21"/>
              </w:rPr>
              <w:t>相关部门的</w:t>
            </w:r>
            <w:r w:rsidR="00E20E25">
              <w:rPr>
                <w:rFonts w:ascii="宋体" w:hAnsi="宋体" w:hint="eastAsia"/>
                <w:szCs w:val="21"/>
              </w:rPr>
              <w:t>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70630E3D" w14:textId="77777777" w:rsidR="00EE0FCD" w:rsidRDefault="00E20E25">
            <w:pPr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3F13E176" w14:textId="21A697FE" w:rsidR="005F4CF7" w:rsidRDefault="005F4C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78BD42B5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FB5079A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7C9D37C3" w14:textId="77777777" w:rsidR="00EE0FCD" w:rsidRDefault="00EE0FCD">
            <w:pPr>
              <w:rPr>
                <w:rFonts w:ascii="宋体" w:hAnsi="宋体" w:hint="eastAsia"/>
                <w:szCs w:val="21"/>
              </w:rPr>
            </w:pPr>
          </w:p>
          <w:p w14:paraId="3671377D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4B33B75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4016F5B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  <w:vAlign w:val="center"/>
          </w:tcPr>
          <w:p w14:paraId="4619AB08" w14:textId="77777777" w:rsidR="00EE0FCD" w:rsidRDefault="00E20E2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1374" w:type="dxa"/>
            <w:vAlign w:val="center"/>
          </w:tcPr>
          <w:p w14:paraId="61C33BDA" w14:textId="77777777" w:rsidR="00EE0FCD" w:rsidRDefault="00E20E2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19DC1442" w14:textId="50D7FD2E" w:rsidR="00EE0FCD" w:rsidRDefault="00E20E2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7083429"/>
            <w:bookmarkStart w:id="3" w:name="_Hlk80872953"/>
            <w:r>
              <w:rPr>
                <w:rFonts w:ascii="宋体" w:hAnsi="宋体" w:hint="eastAsia"/>
                <w:szCs w:val="21"/>
              </w:rPr>
              <w:t>企业主要耗能为电和水和天然气，每个月电和水</w:t>
            </w:r>
            <w:r w:rsidR="005F4CF7">
              <w:rPr>
                <w:rFonts w:ascii="宋体" w:hAnsi="宋体" w:hint="eastAsia"/>
                <w:szCs w:val="21"/>
              </w:rPr>
              <w:t>和天然气</w:t>
            </w:r>
            <w:r>
              <w:rPr>
                <w:rFonts w:ascii="宋体" w:hAnsi="宋体" w:hint="eastAsia"/>
                <w:szCs w:val="21"/>
              </w:rPr>
              <w:t>的消耗分别由供电供气和供水部门</w:t>
            </w:r>
            <w:r w:rsidR="005F4CF7">
              <w:rPr>
                <w:rFonts w:ascii="宋体" w:hAnsi="宋体" w:hint="eastAsia"/>
                <w:szCs w:val="21"/>
              </w:rPr>
              <w:t>和供气部门</w:t>
            </w:r>
            <w:r>
              <w:rPr>
                <w:rFonts w:ascii="宋体" w:hAnsi="宋体" w:hint="eastAsia"/>
                <w:szCs w:val="21"/>
              </w:rPr>
              <w:t>提供数据。查：企业年耗电29.88万千瓦时，用水896吨，天然气10000立方米</w:t>
            </w:r>
            <w:r w:rsidR="005F4CF7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不是重点耗能企业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  <w:bookmarkEnd w:id="3"/>
          </w:p>
        </w:tc>
        <w:tc>
          <w:tcPr>
            <w:tcW w:w="1134" w:type="dxa"/>
            <w:vAlign w:val="center"/>
          </w:tcPr>
          <w:p w14:paraId="2B01D755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0AEA9EE" w14:textId="77777777" w:rsidR="00EE0FCD" w:rsidRDefault="00EE0FCD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47B9BEF7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3BDFE9B7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1815EA93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1BD4BBC2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E0FCD" w14:paraId="694D2C1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A0DC22D" w14:textId="77777777" w:rsidR="00EE0FCD" w:rsidRDefault="00E20E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1CDF00F5" w14:textId="77777777" w:rsidR="00EE0FCD" w:rsidRDefault="00E20E25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32346ADB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1FF421B6" w14:textId="77777777" w:rsidR="00EE0FCD" w:rsidRDefault="00E20E2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73BE07E6" w14:textId="77777777" w:rsidR="00EE0FCD" w:rsidRDefault="00E20E25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5C41F904" w14:textId="0E86B203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查：企业无在用的特种设备。</w:t>
            </w:r>
          </w:p>
          <w:p w14:paraId="69FAEF09" w14:textId="77777777" w:rsidR="00EE0FCD" w:rsidRDefault="00E20E2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bookmarkStart w:id="4" w:name="_Hlk88055086"/>
            <w:r>
              <w:rPr>
                <w:rFonts w:ascii="宋体" w:hAnsi="宋体" w:hint="eastAsia"/>
                <w:szCs w:val="21"/>
              </w:rPr>
              <w:t>编号为盐环表复（2019）23078号《关于&lt;江苏鑫泉环保材料有限公司年产300万平方米工业用布和60万只袋笼生产线项目环境影响报告表&gt;的审批意见》，由盐城市生态环境局出具，审批意见为可行。</w:t>
            </w:r>
            <w:bookmarkEnd w:id="4"/>
          </w:p>
        </w:tc>
        <w:tc>
          <w:tcPr>
            <w:tcW w:w="1134" w:type="dxa"/>
            <w:vAlign w:val="center"/>
          </w:tcPr>
          <w:p w14:paraId="5AB10B47" w14:textId="77777777" w:rsidR="00EE0FCD" w:rsidRDefault="00E20E25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50A88EB" w14:textId="77777777" w:rsidR="00EE0FCD" w:rsidRDefault="00EE0FCD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10338F51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250DD824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05372BA4" w14:textId="77777777" w:rsidR="00EE0FCD" w:rsidRDefault="00EE0FCD">
            <w:pPr>
              <w:rPr>
                <w:rFonts w:ascii="宋体" w:hAnsi="宋体"/>
                <w:szCs w:val="21"/>
              </w:rPr>
            </w:pPr>
          </w:p>
          <w:p w14:paraId="3091ED66" w14:textId="77777777" w:rsidR="00EE0FCD" w:rsidRDefault="00E20E25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50A10D26" w14:textId="77777777" w:rsidR="00EE0FCD" w:rsidRDefault="00EE0FCD">
      <w:pPr>
        <w:rPr>
          <w:rFonts w:ascii="宋体" w:hAnsi="宋体"/>
          <w:szCs w:val="21"/>
        </w:rPr>
      </w:pPr>
    </w:p>
    <w:sectPr w:rsidR="00EE0FCD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6A95" w14:textId="77777777" w:rsidR="00E54FCA" w:rsidRDefault="00E54FCA">
      <w:r>
        <w:separator/>
      </w:r>
    </w:p>
  </w:endnote>
  <w:endnote w:type="continuationSeparator" w:id="0">
    <w:p w14:paraId="456639C2" w14:textId="77777777" w:rsidR="00E54FCA" w:rsidRDefault="00E5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6D3" w14:textId="77777777" w:rsidR="00EE0FCD" w:rsidRDefault="00E20E25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19C3DC0B" w14:textId="77777777" w:rsidR="00EE0FCD" w:rsidRDefault="00EE0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7E1D" w14:textId="77777777" w:rsidR="00E54FCA" w:rsidRDefault="00E54FCA">
      <w:r>
        <w:separator/>
      </w:r>
    </w:p>
  </w:footnote>
  <w:footnote w:type="continuationSeparator" w:id="0">
    <w:p w14:paraId="577754E1" w14:textId="77777777" w:rsidR="00E54FCA" w:rsidRDefault="00E5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A92" w14:textId="77777777" w:rsidR="00EE0FCD" w:rsidRDefault="00E20E2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32E47B" wp14:editId="3C74444F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38C7D77C" w14:textId="77777777" w:rsidR="00EE0FCD" w:rsidRDefault="00E20E25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D6DD4" wp14:editId="281B43C5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3F3B1E" w14:textId="77777777" w:rsidR="00EE0FCD" w:rsidRDefault="00E20E2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536D6DD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3C3F3B1E" w14:textId="77777777" w:rsidR="00EE0FCD" w:rsidRDefault="00E20E2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5A27EB8" w14:textId="77777777" w:rsidR="00EE0FCD" w:rsidRDefault="00E20E25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3A9AB" wp14:editId="5C90DB70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D826CA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25E44E68" w14:textId="77777777" w:rsidR="00EE0FCD" w:rsidRDefault="00EE0F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1F691E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5F4CF7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33A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57716"/>
    <w:rsid w:val="0096646A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D7B8F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0E25"/>
    <w:rsid w:val="00E21EC2"/>
    <w:rsid w:val="00E2294C"/>
    <w:rsid w:val="00E2503C"/>
    <w:rsid w:val="00E25F54"/>
    <w:rsid w:val="00E321A5"/>
    <w:rsid w:val="00E33B27"/>
    <w:rsid w:val="00E4405A"/>
    <w:rsid w:val="00E54FC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0FCD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86D7C"/>
    <w:rsid w:val="00F905AF"/>
    <w:rsid w:val="00F9541C"/>
    <w:rsid w:val="00FA10C1"/>
    <w:rsid w:val="00FA2A7E"/>
    <w:rsid w:val="00FA3744"/>
    <w:rsid w:val="00FA6970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13EA7922"/>
    <w:rsid w:val="16922F56"/>
    <w:rsid w:val="1C566660"/>
    <w:rsid w:val="24B53288"/>
    <w:rsid w:val="25BA20C3"/>
    <w:rsid w:val="34B44E4A"/>
    <w:rsid w:val="395D604B"/>
    <w:rsid w:val="3CC408E1"/>
    <w:rsid w:val="4C36030A"/>
    <w:rsid w:val="51D23AAD"/>
    <w:rsid w:val="51F00383"/>
    <w:rsid w:val="53CF60E2"/>
    <w:rsid w:val="54053834"/>
    <w:rsid w:val="57EE686E"/>
    <w:rsid w:val="60B5520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A4BE25"/>
  <w15:docId w15:val="{7261F7BD-BA9D-4AE4-AC0C-418DD758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48</cp:revision>
  <cp:lastPrinted>2010-12-27T06:36:00Z</cp:lastPrinted>
  <dcterms:created xsi:type="dcterms:W3CDTF">2021-08-25T13:10:00Z</dcterms:created>
  <dcterms:modified xsi:type="dcterms:W3CDTF">2021-11-17T11:04:00Z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