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1152-2021-EnMs</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石狮市龙兴隆染织实业有限公司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sym w:font="Wingdings 2" w:char="0052"/>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2021年11月21日 上午至2021年11月21日 下午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
            <w:bookmarkStart w:id="10" w:name="QJ勾选Add1"/>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bookmarkStart w:id="13" w:name="EnMS勾选Add1"/>
            <w:r>
              <w:rPr>
                <w:rFonts w:hint="eastAsia" w:ascii="宋体" w:hAnsi="宋体"/>
                <w:b/>
                <w:color w:val="000000"/>
                <w:szCs w:val="21"/>
              </w:rPr>
              <w:t>□</w:t>
            </w:r>
            <w:bookmarkEnd w:id="13"/>
            <w:r>
              <w:rPr>
                <w:rFonts w:hint="eastAsia" w:ascii="宋体" w:hAnsi="宋体"/>
                <w:b/>
                <w:color w:val="000000"/>
                <w:szCs w:val="21"/>
              </w:rPr>
              <w:t>En</w:t>
            </w:r>
            <w:r>
              <w:rPr>
                <w:rFonts w:ascii="宋体" w:hAnsi="宋体"/>
                <w:b/>
                <w:color w:val="000000"/>
                <w:szCs w:val="21"/>
              </w:rPr>
              <w:t>MS/</w:t>
            </w:r>
            <w:bookmarkStart w:id="14" w:name="F勾选Add1"/>
            <w:r>
              <w:rPr>
                <w:rFonts w:hint="eastAsia" w:ascii="宋体" w:hAnsi="宋体"/>
                <w:b/>
                <w:color w:val="000000"/>
                <w:szCs w:val="21"/>
              </w:rPr>
              <w:t>□</w:t>
            </w:r>
            <w:bookmarkEnd w:id="14"/>
            <w:r>
              <w:rPr>
                <w:rFonts w:hint="eastAsia" w:ascii="宋体" w:hAnsi="宋体"/>
                <w:b/>
                <w:color w:val="000000"/>
                <w:szCs w:val="21"/>
              </w:rPr>
              <w:t>FS</w:t>
            </w:r>
            <w:r>
              <w:rPr>
                <w:rFonts w:ascii="宋体" w:hAnsi="宋体"/>
                <w:b/>
                <w:color w:val="000000"/>
                <w:szCs w:val="21"/>
              </w:rPr>
              <w:t>MS/</w:t>
            </w:r>
            <w:bookmarkStart w:id="15" w:name="H勾选Add1"/>
            <w:r>
              <w:rPr>
                <w:rFonts w:hint="eastAsia" w:ascii="宋体" w:hAnsi="宋体"/>
                <w:b/>
                <w:color w:val="000000"/>
                <w:szCs w:val="21"/>
              </w:rPr>
              <w:t>□</w:t>
            </w:r>
            <w:bookmarkEnd w:id="15"/>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6" w:name="Q勾选Add2"/>
            <w:r>
              <w:rPr>
                <w:rFonts w:hint="eastAsia" w:ascii="宋体" w:hAnsi="宋体"/>
                <w:b/>
                <w:color w:val="000000"/>
                <w:szCs w:val="21"/>
                <w:lang w:val="de-DE"/>
              </w:rPr>
              <w:t>□</w:t>
            </w:r>
            <w:bookmarkEnd w:id="16"/>
            <w:r>
              <w:rPr>
                <w:rFonts w:hint="eastAsia" w:ascii="宋体" w:hAnsi="宋体"/>
                <w:b/>
                <w:color w:val="000000"/>
                <w:szCs w:val="21"/>
                <w:lang w:val="de-DE"/>
              </w:rPr>
              <w:t>GB/T19001-2016</w:t>
            </w:r>
            <w:bookmarkStart w:id="17" w:name="QJ勾选Add2"/>
            <w:r>
              <w:rPr>
                <w:rFonts w:hint="eastAsia" w:ascii="宋体" w:hAnsi="宋体"/>
                <w:b/>
                <w:color w:val="000000"/>
                <w:szCs w:val="21"/>
                <w:lang w:val="de-DE"/>
              </w:rPr>
              <w:t>□</w:t>
            </w:r>
            <w:bookmarkEnd w:id="17"/>
            <w:r>
              <w:rPr>
                <w:rFonts w:hint="eastAsia" w:ascii="宋体" w:hAnsi="宋体"/>
                <w:b/>
                <w:color w:val="000000"/>
                <w:szCs w:val="21"/>
                <w:lang w:val="de-DE"/>
              </w:rPr>
              <w:t>GB/T 50430-2017</w:t>
            </w:r>
            <w:bookmarkStart w:id="18" w:name="E勾选Add2"/>
            <w:r>
              <w:rPr>
                <w:rFonts w:hint="eastAsia" w:ascii="宋体" w:hAnsi="宋体"/>
                <w:b/>
                <w:color w:val="000000"/>
                <w:szCs w:val="21"/>
                <w:lang w:val="de-DE"/>
              </w:rPr>
              <w:t>□</w:t>
            </w:r>
            <w:bookmarkEnd w:id="18"/>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9" w:name="S勾选Add2"/>
            <w:r>
              <w:rPr>
                <w:rFonts w:hint="eastAsia" w:ascii="宋体" w:hAnsi="宋体"/>
                <w:b/>
                <w:color w:val="000000"/>
                <w:szCs w:val="21"/>
                <w:lang w:val="de-DE"/>
              </w:rPr>
              <w:t>□</w:t>
            </w:r>
            <w:bookmarkEnd w:id="19"/>
            <w:r>
              <w:rPr>
                <w:rFonts w:hint="eastAsia" w:ascii="宋体" w:hAnsi="宋体"/>
                <w:b/>
                <w:color w:val="000000"/>
                <w:szCs w:val="21"/>
                <w:lang w:val="de-DE"/>
              </w:rPr>
              <w:t>ISO45001：2018</w:t>
            </w:r>
          </w:p>
          <w:p>
            <w:pPr>
              <w:rPr>
                <w:rFonts w:hint="eastAsia" w:ascii="宋体" w:hAnsi="宋体"/>
                <w:b/>
                <w:color w:val="000000"/>
                <w:szCs w:val="21"/>
                <w:lang w:val="de-DE"/>
              </w:rPr>
            </w:pPr>
            <w:r>
              <w:rPr>
                <w:rFonts w:hint="eastAsia" w:ascii="宋体" w:hAnsi="宋体"/>
                <w:b/>
                <w:color w:val="000000"/>
                <w:szCs w:val="21"/>
                <w:lang w:val="de-DE"/>
              </w:rPr>
              <w:sym w:font="Wingdings 2" w:char="0052"/>
            </w:r>
            <w:r>
              <w:rPr>
                <w:rFonts w:hint="eastAsia" w:ascii="宋体" w:hAnsi="宋体"/>
                <w:b/>
                <w:color w:val="000000"/>
                <w:szCs w:val="21"/>
                <w:lang w:val="de-DE"/>
              </w:rPr>
              <w:t>GB/T 23331-202</w:t>
            </w:r>
            <w:r>
              <w:rPr>
                <w:rFonts w:hint="eastAsia" w:ascii="宋体" w:hAnsi="宋体"/>
                <w:b/>
                <w:color w:val="000000"/>
                <w:szCs w:val="21"/>
                <w:lang w:val="en-US" w:eastAsia="zh-CN"/>
              </w:rPr>
              <w:t>0</w:t>
            </w:r>
            <w:r>
              <w:rPr>
                <w:rFonts w:hint="eastAsia" w:ascii="宋体" w:hAnsi="宋体"/>
                <w:b/>
                <w:color w:val="000000"/>
                <w:szCs w:val="21"/>
                <w:lang w:val="de-DE"/>
              </w:rPr>
              <w:t xml:space="preserve"> </w:t>
            </w:r>
          </w:p>
          <w:p>
            <w:pPr>
              <w:keepNext w:val="0"/>
              <w:keepLines w:val="0"/>
              <w:pageBreakBefore w:val="0"/>
              <w:kinsoku/>
              <w:wordWrap/>
              <w:overflowPunct/>
              <w:topLinePunct w:val="0"/>
              <w:autoSpaceDE/>
              <w:autoSpaceDN/>
              <w:bidi w:val="0"/>
              <w:adjustRightInd/>
              <w:spacing w:line="240" w:lineRule="auto"/>
              <w:rPr>
                <w:rFonts w:ascii="宋体" w:hAnsi="宋体"/>
                <w:b/>
                <w:sz w:val="21"/>
                <w:szCs w:val="21"/>
              </w:rPr>
            </w:pPr>
            <w:r>
              <w:rPr>
                <w:rFonts w:hint="eastAsia" w:ascii="宋体" w:hAnsi="宋体"/>
                <w:b/>
                <w:color w:val="000000"/>
                <w:szCs w:val="21"/>
                <w:lang w:val="de-DE"/>
              </w:rPr>
              <w:sym w:font="Wingdings 2" w:char="0052"/>
            </w:r>
            <w:r>
              <w:rPr>
                <w:rFonts w:hint="eastAsia" w:ascii="宋体" w:hAnsi="宋体"/>
                <w:b/>
                <w:sz w:val="21"/>
                <w:szCs w:val="21"/>
              </w:rPr>
              <w:t>RB/T 102-2013 能源管理体系 纺织企业认证要求</w:t>
            </w:r>
          </w:p>
          <w:p>
            <w:pPr>
              <w:rPr>
                <w:rFonts w:ascii="宋体" w:hAnsi="宋体"/>
                <w:b/>
                <w:color w:val="000000"/>
                <w:szCs w:val="21"/>
                <w:lang w:val="de-DE"/>
              </w:rPr>
            </w:pPr>
            <w:r>
              <w:rPr>
                <w:rFonts w:hint="eastAsia" w:ascii="宋体" w:hAnsi="宋体"/>
                <w:b/>
                <w:color w:val="000000"/>
                <w:szCs w:val="21"/>
                <w:lang w:val="de-DE"/>
              </w:rPr>
              <w:t>FSMS：</w:t>
            </w:r>
            <w:bookmarkStart w:id="20" w:name="F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1" w:name="H勾选Add2"/>
            <w:r>
              <w:rPr>
                <w:rFonts w:hint="eastAsia" w:ascii="宋体" w:hAnsi="宋体"/>
                <w:b/>
                <w:color w:val="000000"/>
                <w:szCs w:val="21"/>
                <w:lang w:val="de-DE"/>
              </w:rPr>
              <w:t>□</w:t>
            </w:r>
            <w:bookmarkEnd w:id="21"/>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default" w:ascii="宋体" w:eastAsia="宋体"/>
                <w:b/>
                <w:color w:val="0000FF"/>
                <w:szCs w:val="21"/>
                <w:lang w:val="en-US" w:eastAsia="zh-CN"/>
              </w:rPr>
            </w:pPr>
            <w:r>
              <w:rPr>
                <w:rFonts w:hint="eastAsia" w:ascii="宋体"/>
                <w:b/>
                <w:color w:val="0000FF"/>
                <w:szCs w:val="21"/>
                <w:lang w:val="en-US" w:eastAsia="zh-CN"/>
              </w:rPr>
              <w:t>河北省石家庄市高新区富力家园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李丽英</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2020-N1EnMS-3021820</w:t>
            </w:r>
          </w:p>
        </w:tc>
        <w:tc>
          <w:tcPr>
            <w:tcW w:w="1140" w:type="dxa"/>
            <w:vAlign w:val="center"/>
          </w:tcPr>
          <w:p>
            <w:pPr>
              <w:spacing w:line="240" w:lineRule="exact"/>
              <w:jc w:val="center"/>
              <w:rPr>
                <w:b/>
                <w:color w:val="000000"/>
                <w:szCs w:val="21"/>
              </w:rPr>
            </w:pPr>
            <w:r>
              <w:rPr>
                <w:b/>
                <w:color w:val="000000"/>
                <w:szCs w:val="21"/>
              </w:rPr>
              <w:t>2.5</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2" w:name="组织名称Add1"/>
            <w:r>
              <w:rPr>
                <w:rFonts w:ascii="宋体"/>
                <w:b/>
                <w:color w:val="000000"/>
                <w:szCs w:val="21"/>
              </w:rPr>
              <w:t>石狮市龙兴隆染织实业有限公司</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3" w:name="注册地址"/>
            <w:r>
              <w:rPr>
                <w:rFonts w:ascii="宋体"/>
                <w:b/>
                <w:color w:val="000000"/>
                <w:szCs w:val="21"/>
              </w:rPr>
              <w:t>石狮市锦尚工业区</w:t>
            </w:r>
            <w:bookmarkEnd w:id="23"/>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4" w:name="注册邮编"/>
            <w:r>
              <w:rPr>
                <w:rFonts w:ascii="宋体"/>
                <w:b/>
                <w:color w:val="000000"/>
                <w:szCs w:val="21"/>
              </w:rPr>
              <w:t>362712</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5" w:name="生产地址"/>
            <w:bookmarkStart w:id="26" w:name="办公地址"/>
            <w:r>
              <w:rPr>
                <w:rFonts w:ascii="宋体"/>
                <w:b/>
                <w:color w:val="000000"/>
                <w:szCs w:val="21"/>
              </w:rPr>
              <w:t>石狮市锦尚工业区</w:t>
            </w:r>
            <w:bookmarkEnd w:id="25"/>
            <w:bookmarkEnd w:id="26"/>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7" w:name="办公邮编"/>
            <w:r>
              <w:rPr>
                <w:rFonts w:ascii="宋体"/>
                <w:b/>
                <w:color w:val="000000"/>
                <w:szCs w:val="21"/>
              </w:rPr>
              <w:t>362712</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8" w:name="联系人"/>
            <w:r>
              <w:rPr>
                <w:rFonts w:ascii="宋体"/>
                <w:b/>
                <w:color w:val="000000"/>
                <w:szCs w:val="21"/>
              </w:rPr>
              <w:t>陈建平</w:t>
            </w:r>
            <w:bookmarkEnd w:id="28"/>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9" w:name="联系人手机"/>
            <w:r>
              <w:rPr>
                <w:rFonts w:ascii="宋体"/>
                <w:b/>
                <w:color w:val="000000"/>
                <w:szCs w:val="21"/>
              </w:rPr>
              <w:t>13959907760</w:t>
            </w:r>
            <w:bookmarkEnd w:id="29"/>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0" w:name="联系人传真"/>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1" w:name="法人"/>
            <w:r>
              <w:rPr>
                <w:rFonts w:ascii="宋体"/>
                <w:b/>
                <w:color w:val="000000"/>
                <w:szCs w:val="21"/>
              </w:rPr>
              <w:t>刘德庆</w:t>
            </w:r>
            <w:bookmarkEnd w:id="31"/>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2" w:name="管理者代表"/>
            <w:r>
              <w:rPr>
                <w:rFonts w:ascii="宋体"/>
                <w:b/>
                <w:color w:val="000000"/>
                <w:szCs w:val="21"/>
              </w:rPr>
              <w:t>陈建平</w:t>
            </w:r>
            <w:bookmarkEnd w:id="32"/>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default" w:ascii="宋体" w:hAnsi="宋体"/>
                <w:b/>
                <w:color w:val="000000"/>
                <w:szCs w:val="21"/>
                <w:lang w:val="en-US"/>
              </w:rPr>
            </w:pPr>
            <w:r>
              <w:rPr>
                <w:rFonts w:hint="eastAsia" w:ascii="宋体" w:hAnsi="宋体"/>
                <w:b/>
                <w:color w:val="000000"/>
                <w:szCs w:val="21"/>
              </w:rPr>
              <w:t>产品：</w:t>
            </w:r>
            <w:r>
              <w:rPr>
                <w:rFonts w:hint="eastAsia" w:ascii="宋体" w:hAnsi="宋体" w:eastAsia="宋体" w:cs="Times New Roman"/>
                <w:sz w:val="21"/>
                <w:szCs w:val="21"/>
                <w:lang w:val="en-US" w:eastAsia="zh-CN"/>
              </w:rPr>
              <w:t>各类纯棉、混纺、多纤维等高档面料的染整。</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w:t>
            </w:r>
            <w:r>
              <w:rPr>
                <w:rFonts w:hint="eastAsia" w:ascii="宋体" w:hAnsi="宋体"/>
                <w:color w:val="000000"/>
                <w:szCs w:val="21"/>
                <w:highlight w:val="none"/>
              </w:rPr>
              <w:t>产/服务提</w:t>
            </w:r>
            <w:r>
              <w:rPr>
                <w:rFonts w:hint="eastAsia" w:ascii="宋体" w:hAnsi="宋体"/>
                <w:color w:val="000000"/>
                <w:szCs w:val="21"/>
              </w:rPr>
              <w:t>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drawing>
                <wp:anchor distT="0" distB="0" distL="114300" distR="114300" simplePos="0" relativeHeight="251664384" behindDoc="0" locked="0" layoutInCell="1" allowOverlap="1">
                  <wp:simplePos x="0" y="0"/>
                  <wp:positionH relativeFrom="column">
                    <wp:posOffset>20320</wp:posOffset>
                  </wp:positionH>
                  <wp:positionV relativeFrom="paragraph">
                    <wp:posOffset>62230</wp:posOffset>
                  </wp:positionV>
                  <wp:extent cx="5055235" cy="1908810"/>
                  <wp:effectExtent l="0" t="0" r="12065" b="8890"/>
                  <wp:wrapSquare wrapText="bothSides"/>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stretch>
                            <a:fillRect/>
                          </a:stretch>
                        </pic:blipFill>
                        <pic:spPr>
                          <a:xfrm>
                            <a:off x="0" y="0"/>
                            <a:ext cx="5055235" cy="1908810"/>
                          </a:xfrm>
                          <a:prstGeom prst="rect">
                            <a:avLst/>
                          </a:prstGeom>
                          <a:noFill/>
                          <a:ln>
                            <a:noFill/>
                          </a:ln>
                        </pic:spPr>
                      </pic:pic>
                    </a:graphicData>
                  </a:graphic>
                </wp:anchor>
              </w:drawing>
            </w:r>
          </w:p>
          <w:p>
            <w:pPr>
              <w:tabs>
                <w:tab w:val="left" w:pos="360"/>
              </w:tabs>
              <w:ind w:left="360" w:hanging="360"/>
              <w:rPr>
                <w:rFonts w:hint="eastAsia" w:ascii="宋体" w:eastAsia="宋体"/>
                <w:color w:val="000000"/>
                <w:szCs w:val="21"/>
                <w:lang w:val="en-US" w:eastAsia="zh-CN"/>
              </w:rPr>
            </w:pPr>
            <w:r>
              <w:rPr>
                <w:rFonts w:hint="eastAsia" w:ascii="宋体"/>
                <w:color w:val="000000"/>
                <w:szCs w:val="21"/>
                <w:lang w:val="en-US" w:eastAsia="zh-CN"/>
              </w:rPr>
              <w:t>其它略。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r>
              <w:rPr>
                <w:highlight w:val="none"/>
              </w:rPr>
              <w:t>染织</w:t>
            </w:r>
            <w:r>
              <w:rPr>
                <w:rFonts w:hint="eastAsia"/>
                <w:highlight w:val="none"/>
                <w:lang w:val="en-US" w:eastAsia="zh-CN"/>
              </w:rPr>
              <w:t>生产</w:t>
            </w:r>
            <w:r>
              <w:rPr>
                <w:highlight w:val="none"/>
              </w:rPr>
              <w:t>所涉及的能源管理活动</w:t>
            </w:r>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hint="eastAsia" w:ascii="宋体" w:eastAsia="宋体"/>
                <w:color w:val="000000"/>
                <w:spacing w:val="-10"/>
                <w:szCs w:val="21"/>
                <w:lang w:eastAsia="zh-CN"/>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sym w:font="Wingdings 2" w:char="0052"/>
            </w:r>
            <w:r>
              <w:rPr>
                <w:rFonts w:hint="eastAsia" w:ascii="宋体" w:hAnsi="宋体"/>
                <w:color w:val="000000"/>
                <w:szCs w:val="21"/>
              </w:rPr>
              <w:t>多班次生产</w:t>
            </w:r>
            <w:r>
              <w:rPr>
                <w:rFonts w:hint="eastAsia" w:ascii="宋体" w:hAnsi="宋体"/>
                <w:color w:val="000000"/>
                <w:szCs w:val="21"/>
                <w:lang w:eastAsia="zh-CN"/>
              </w:rPr>
              <w:t>（</w:t>
            </w:r>
            <w:r>
              <w:rPr>
                <w:rFonts w:hint="eastAsia" w:ascii="宋体" w:hAnsi="宋体"/>
                <w:color w:val="000000"/>
                <w:szCs w:val="21"/>
                <w:lang w:val="en-US" w:eastAsia="zh-CN"/>
              </w:rPr>
              <w:t>两班两倒</w:t>
            </w:r>
            <w:r>
              <w:rPr>
                <w:rFonts w:hint="eastAsia" w:ascii="宋体" w:hAnsi="宋体"/>
                <w:color w:val="000000"/>
                <w:szCs w:val="21"/>
                <w:lang w:eastAsia="zh-CN"/>
              </w:rPr>
              <w:t>）</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981"/>
        <w:gridCol w:w="1854"/>
        <w:gridCol w:w="591"/>
        <w:gridCol w:w="2100"/>
        <w:gridCol w:w="205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198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854"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9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100"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205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981" w:type="dxa"/>
          </w:tcPr>
          <w:p>
            <w:pPr>
              <w:spacing w:before="40" w:after="40"/>
              <w:rPr>
                <w:rFonts w:eastAsia="黑体"/>
                <w:szCs w:val="21"/>
                <w:lang w:val="de-DE" w:eastAsia="ja-JP"/>
              </w:rPr>
            </w:pPr>
            <w:r>
              <w:rPr>
                <w:sz w:val="21"/>
                <w:szCs w:val="21"/>
              </w:rPr>
              <w:t>石狮市锦尚工业区</w:t>
            </w:r>
          </w:p>
        </w:tc>
        <w:tc>
          <w:tcPr>
            <w:tcW w:w="1854" w:type="dxa"/>
          </w:tcPr>
          <w:p>
            <w:pPr>
              <w:spacing w:before="40" w:after="40"/>
              <w:rPr>
                <w:rFonts w:eastAsia="黑体"/>
                <w:szCs w:val="21"/>
                <w:lang w:val="de-DE" w:eastAsia="ja-JP"/>
              </w:rPr>
            </w:pPr>
            <w:r>
              <w:rPr>
                <w:sz w:val="21"/>
                <w:szCs w:val="21"/>
              </w:rPr>
              <w:t>石狮市锦尚工业区</w:t>
            </w:r>
          </w:p>
        </w:tc>
        <w:tc>
          <w:tcPr>
            <w:tcW w:w="591" w:type="dxa"/>
            <w:vAlign w:val="center"/>
          </w:tcPr>
          <w:p>
            <w:pPr>
              <w:spacing w:before="40" w:after="40"/>
              <w:rPr>
                <w:rFonts w:hint="default" w:eastAsia="黑体"/>
                <w:szCs w:val="21"/>
                <w:lang w:val="en-US" w:eastAsia="zh-CN"/>
              </w:rPr>
            </w:pPr>
            <w:r>
              <w:rPr>
                <w:rFonts w:hint="eastAsia" w:eastAsia="黑体"/>
                <w:szCs w:val="21"/>
                <w:lang w:val="en-US" w:eastAsia="zh-CN"/>
              </w:rPr>
              <w:t>498</w:t>
            </w:r>
          </w:p>
        </w:tc>
        <w:tc>
          <w:tcPr>
            <w:tcW w:w="2100" w:type="dxa"/>
            <w:vAlign w:val="center"/>
          </w:tcPr>
          <w:p>
            <w:pPr>
              <w:pStyle w:val="19"/>
              <w:rPr>
                <w:rFonts w:eastAsia="黑体" w:cs="Arial"/>
                <w:sz w:val="21"/>
                <w:szCs w:val="21"/>
                <w:lang w:val="en-US" w:eastAsia="ja-JP"/>
              </w:rPr>
            </w:pPr>
            <w:bookmarkStart w:id="33" w:name="审核范围"/>
            <w:r>
              <w:rPr>
                <w:highlight w:val="none"/>
              </w:rPr>
              <w:t>染织</w:t>
            </w:r>
            <w:r>
              <w:rPr>
                <w:rFonts w:hint="eastAsia"/>
                <w:highlight w:val="none"/>
                <w:lang w:val="en-US" w:eastAsia="zh-CN"/>
              </w:rPr>
              <w:t>生产</w:t>
            </w:r>
            <w:r>
              <w:rPr>
                <w:highlight w:val="none"/>
              </w:rPr>
              <w:t>所涉及的能源管理活动</w:t>
            </w:r>
            <w:bookmarkEnd w:id="33"/>
          </w:p>
        </w:tc>
        <w:tc>
          <w:tcPr>
            <w:tcW w:w="2051" w:type="dxa"/>
            <w:vAlign w:val="center"/>
          </w:tcPr>
          <w:p>
            <w:pPr>
              <w:spacing w:before="40" w:after="40"/>
              <w:rPr>
                <w:rFonts w:hint="eastAsia" w:eastAsia="黑体"/>
                <w:szCs w:val="21"/>
                <w:lang w:val="en-US" w:eastAsia="zh-CN"/>
              </w:rPr>
            </w:pPr>
            <w:r>
              <w:rPr>
                <w:rFonts w:hint="eastAsia" w:eastAsia="黑体"/>
                <w:szCs w:val="21"/>
                <w:lang w:val="en-US" w:eastAsia="zh-CN"/>
              </w:rPr>
              <w:t>GB/T23331-2020</w:t>
            </w:r>
          </w:p>
          <w:p>
            <w:pPr>
              <w:spacing w:before="40" w:after="40"/>
              <w:rPr>
                <w:rFonts w:hint="default" w:eastAsia="黑体"/>
                <w:szCs w:val="21"/>
                <w:lang w:val="en-US" w:eastAsia="zh-CN"/>
              </w:rPr>
            </w:pPr>
            <w:r>
              <w:rPr>
                <w:rFonts w:hint="eastAsia" w:eastAsia="黑体"/>
                <w:szCs w:val="21"/>
                <w:lang w:val="en-US" w:eastAsia="zh-CN"/>
              </w:rPr>
              <w:t>RB/T102-2013</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647" w:type="dxa"/>
            <w:vAlign w:val="center"/>
          </w:tcPr>
          <w:p>
            <w:pPr>
              <w:spacing w:before="40" w:after="40"/>
              <w:rPr>
                <w:rFonts w:eastAsia="黑体"/>
                <w:szCs w:val="21"/>
                <w:lang w:eastAsia="ja-JP"/>
              </w:rPr>
            </w:pPr>
            <w:r>
              <w:rPr>
                <w:rFonts w:eastAsia="黑体"/>
                <w:szCs w:val="21"/>
                <w:lang w:eastAsia="ja-JP"/>
              </w:rPr>
              <w:t>02</w:t>
            </w:r>
          </w:p>
        </w:tc>
        <w:tc>
          <w:tcPr>
            <w:tcW w:w="1981" w:type="dxa"/>
            <w:vAlign w:val="center"/>
          </w:tcPr>
          <w:p>
            <w:pPr>
              <w:spacing w:before="40" w:after="40"/>
              <w:rPr>
                <w:rFonts w:eastAsia="黑体"/>
                <w:szCs w:val="21"/>
                <w:lang w:eastAsia="ja-JP"/>
              </w:rPr>
            </w:pPr>
          </w:p>
        </w:tc>
        <w:tc>
          <w:tcPr>
            <w:tcW w:w="1854" w:type="dxa"/>
            <w:vAlign w:val="center"/>
          </w:tcPr>
          <w:p>
            <w:pPr>
              <w:spacing w:before="40" w:after="40"/>
              <w:rPr>
                <w:rFonts w:eastAsia="黑体"/>
                <w:szCs w:val="21"/>
                <w:lang w:eastAsia="ja-JP"/>
              </w:rPr>
            </w:pPr>
          </w:p>
        </w:tc>
        <w:tc>
          <w:tcPr>
            <w:tcW w:w="591" w:type="dxa"/>
            <w:vAlign w:val="center"/>
          </w:tcPr>
          <w:p>
            <w:pPr>
              <w:spacing w:before="40" w:after="40"/>
              <w:rPr>
                <w:rFonts w:eastAsia="黑体"/>
                <w:szCs w:val="21"/>
                <w:lang w:eastAsia="ja-JP"/>
              </w:rPr>
            </w:pPr>
          </w:p>
        </w:tc>
        <w:tc>
          <w:tcPr>
            <w:tcW w:w="2100" w:type="dxa"/>
            <w:vAlign w:val="center"/>
          </w:tcPr>
          <w:p>
            <w:pPr>
              <w:spacing w:before="40" w:after="40"/>
              <w:rPr>
                <w:rFonts w:eastAsia="黑体"/>
                <w:szCs w:val="21"/>
                <w:lang w:eastAsia="ja-JP"/>
              </w:rPr>
            </w:pPr>
          </w:p>
        </w:tc>
        <w:tc>
          <w:tcPr>
            <w:tcW w:w="2051"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1981" w:type="dxa"/>
            <w:vAlign w:val="center"/>
          </w:tcPr>
          <w:p>
            <w:pPr>
              <w:spacing w:before="40" w:after="40"/>
              <w:rPr>
                <w:rFonts w:eastAsia="黑体"/>
                <w:szCs w:val="21"/>
                <w:lang w:eastAsia="ja-JP"/>
              </w:rPr>
            </w:pPr>
          </w:p>
        </w:tc>
        <w:tc>
          <w:tcPr>
            <w:tcW w:w="1854" w:type="dxa"/>
            <w:vAlign w:val="center"/>
          </w:tcPr>
          <w:p>
            <w:pPr>
              <w:spacing w:before="40" w:after="40"/>
              <w:rPr>
                <w:rFonts w:eastAsia="黑体"/>
                <w:szCs w:val="21"/>
                <w:lang w:eastAsia="ja-JP"/>
              </w:rPr>
            </w:pPr>
          </w:p>
        </w:tc>
        <w:tc>
          <w:tcPr>
            <w:tcW w:w="591" w:type="dxa"/>
            <w:vAlign w:val="center"/>
          </w:tcPr>
          <w:p>
            <w:pPr>
              <w:spacing w:before="40" w:after="40"/>
              <w:rPr>
                <w:rFonts w:eastAsia="黑体"/>
                <w:szCs w:val="21"/>
                <w:lang w:eastAsia="ja-JP"/>
              </w:rPr>
            </w:pPr>
          </w:p>
        </w:tc>
        <w:tc>
          <w:tcPr>
            <w:tcW w:w="2100" w:type="dxa"/>
            <w:vAlign w:val="center"/>
          </w:tcPr>
          <w:p>
            <w:pPr>
              <w:spacing w:before="40" w:after="40"/>
              <w:rPr>
                <w:rFonts w:eastAsia="黑体"/>
                <w:szCs w:val="21"/>
                <w:lang w:eastAsia="ja-JP"/>
              </w:rPr>
            </w:pPr>
          </w:p>
        </w:tc>
        <w:tc>
          <w:tcPr>
            <w:tcW w:w="2051"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1981" w:type="dxa"/>
            <w:vAlign w:val="center"/>
          </w:tcPr>
          <w:p>
            <w:pPr>
              <w:spacing w:before="40" w:after="40"/>
              <w:rPr>
                <w:rFonts w:eastAsia="黑体"/>
                <w:szCs w:val="21"/>
                <w:lang w:eastAsia="ja-JP"/>
              </w:rPr>
            </w:pPr>
          </w:p>
        </w:tc>
        <w:tc>
          <w:tcPr>
            <w:tcW w:w="1854" w:type="dxa"/>
            <w:vAlign w:val="center"/>
          </w:tcPr>
          <w:p>
            <w:pPr>
              <w:spacing w:before="40" w:after="40"/>
              <w:rPr>
                <w:rFonts w:eastAsia="黑体"/>
                <w:szCs w:val="21"/>
                <w:lang w:eastAsia="ja-JP"/>
              </w:rPr>
            </w:pPr>
          </w:p>
        </w:tc>
        <w:tc>
          <w:tcPr>
            <w:tcW w:w="591" w:type="dxa"/>
            <w:vAlign w:val="center"/>
          </w:tcPr>
          <w:p>
            <w:pPr>
              <w:spacing w:before="40" w:after="40"/>
              <w:rPr>
                <w:rFonts w:eastAsia="黑体"/>
                <w:szCs w:val="21"/>
                <w:lang w:eastAsia="ja-JP"/>
              </w:rPr>
            </w:pPr>
          </w:p>
        </w:tc>
        <w:tc>
          <w:tcPr>
            <w:tcW w:w="2100" w:type="dxa"/>
            <w:vAlign w:val="center"/>
          </w:tcPr>
          <w:p>
            <w:pPr>
              <w:spacing w:before="40" w:after="40"/>
              <w:rPr>
                <w:rFonts w:eastAsia="黑体"/>
                <w:szCs w:val="21"/>
                <w:lang w:eastAsia="ja-JP"/>
              </w:rPr>
            </w:pPr>
          </w:p>
        </w:tc>
        <w:tc>
          <w:tcPr>
            <w:tcW w:w="205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1981" w:type="dxa"/>
            <w:vAlign w:val="center"/>
          </w:tcPr>
          <w:p>
            <w:pPr>
              <w:spacing w:before="40" w:after="40"/>
              <w:rPr>
                <w:rFonts w:eastAsia="黑体"/>
                <w:szCs w:val="21"/>
                <w:lang w:eastAsia="ja-JP"/>
              </w:rPr>
            </w:pPr>
          </w:p>
        </w:tc>
        <w:tc>
          <w:tcPr>
            <w:tcW w:w="1854" w:type="dxa"/>
            <w:vAlign w:val="center"/>
          </w:tcPr>
          <w:p>
            <w:pPr>
              <w:spacing w:before="40" w:after="40"/>
              <w:rPr>
                <w:rFonts w:eastAsia="黑体"/>
                <w:szCs w:val="21"/>
                <w:lang w:eastAsia="ja-JP"/>
              </w:rPr>
            </w:pPr>
          </w:p>
        </w:tc>
        <w:tc>
          <w:tcPr>
            <w:tcW w:w="591" w:type="dxa"/>
            <w:vAlign w:val="center"/>
          </w:tcPr>
          <w:p>
            <w:pPr>
              <w:spacing w:before="40" w:after="40"/>
              <w:rPr>
                <w:rFonts w:eastAsia="黑体"/>
                <w:szCs w:val="21"/>
                <w:lang w:eastAsia="ja-JP"/>
              </w:rPr>
            </w:pPr>
          </w:p>
        </w:tc>
        <w:tc>
          <w:tcPr>
            <w:tcW w:w="2100" w:type="dxa"/>
            <w:vAlign w:val="center"/>
          </w:tcPr>
          <w:p>
            <w:pPr>
              <w:spacing w:before="40" w:after="40"/>
              <w:rPr>
                <w:rFonts w:eastAsia="黑体"/>
                <w:szCs w:val="21"/>
                <w:lang w:eastAsia="ja-JP"/>
              </w:rPr>
            </w:pPr>
          </w:p>
        </w:tc>
        <w:tc>
          <w:tcPr>
            <w:tcW w:w="205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22</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w:t>
            </w:r>
            <w:r>
              <w:rPr>
                <w:rFonts w:hint="eastAsia" w:ascii="宋体" w:hAnsi="宋体"/>
                <w:b/>
                <w:color w:val="000000"/>
                <w:szCs w:val="21"/>
                <w:lang w:val="en-US" w:eastAsia="zh-CN"/>
              </w:rPr>
              <w:t>能源</w:t>
            </w:r>
            <w:r>
              <w:rPr>
                <w:rFonts w:hint="eastAsia" w:ascii="宋体" w:hAnsi="宋体"/>
                <w:b/>
                <w:color w:val="000000"/>
                <w:szCs w:val="21"/>
              </w:rPr>
              <w:t>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10</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年10月22日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hint="default" w:ascii="宋体" w:eastAsia="宋体"/>
                <w:color w:val="000000"/>
                <w:sz w:val="20"/>
                <w:szCs w:val="20"/>
                <w:lang w:val="en-US" w:eastAsia="zh-CN"/>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r>
              <w:rPr>
                <w:rFonts w:hint="eastAsia" w:ascii="宋体" w:hAnsi="宋体"/>
                <w:color w:val="000000"/>
                <w:sz w:val="20"/>
                <w:szCs w:val="20"/>
                <w:lang w:eastAsia="zh-CN"/>
              </w:rPr>
              <w:t>——</w:t>
            </w:r>
            <w:r>
              <w:rPr>
                <w:rFonts w:hint="eastAsia" w:ascii="宋体" w:hAnsi="宋体"/>
                <w:color w:val="000000"/>
                <w:sz w:val="20"/>
                <w:szCs w:val="20"/>
                <w:lang w:val="en-US" w:eastAsia="zh-CN"/>
              </w:rPr>
              <w:t>不涉及</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w:t>
            </w:r>
            <w:r>
              <w:rPr>
                <w:rFonts w:hint="eastAsia" w:ascii="宋体"/>
                <w:color w:val="000000"/>
                <w:szCs w:val="21"/>
              </w:rPr>
              <w:sym w:font="Wingdings 2" w:char="0052"/>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rPr>
              <w:sym w:font="Wingdings 2" w:char="0052"/>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节能主管部门、</w:t>
            </w:r>
            <w:r>
              <w:rPr>
                <w:rFonts w:hint="eastAsia" w:ascii="宋体"/>
                <w:color w:val="000000"/>
                <w:spacing w:val="-10"/>
                <w:szCs w:val="21"/>
              </w:rPr>
              <w:sym w:font="Wingdings 2" w:char="0052"/>
            </w:r>
            <w:r>
              <w:rPr>
                <w:rFonts w:hint="eastAsia" w:ascii="宋体"/>
                <w:color w:val="000000"/>
                <w:spacing w:val="-10"/>
                <w:szCs w:val="21"/>
              </w:rPr>
              <w:t>动力装置场所、</w:t>
            </w:r>
            <w:r>
              <w:rPr>
                <w:rFonts w:hint="eastAsia" w:ascii="宋体"/>
                <w:color w:val="000000"/>
                <w:spacing w:val="-10"/>
                <w:szCs w:val="21"/>
              </w:rPr>
              <w:sym w:font="Wingdings 2" w:char="0052"/>
            </w:r>
            <w:r>
              <w:rPr>
                <w:rFonts w:hint="eastAsia" w:ascii="宋体"/>
                <w:color w:val="000000"/>
                <w:spacing w:val="-10"/>
                <w:szCs w:val="21"/>
              </w:rPr>
              <w:t>主要用能设备管理、</w:t>
            </w:r>
            <w:r>
              <w:rPr>
                <w:rFonts w:hint="eastAsia" w:ascii="宋体"/>
                <w:color w:val="000000"/>
                <w:spacing w:val="-10"/>
                <w:szCs w:val="21"/>
              </w:rPr>
              <w:sym w:font="Wingdings 2" w:char="0052"/>
            </w:r>
            <w:r>
              <w:rPr>
                <w:rFonts w:hint="eastAsia" w:ascii="宋体"/>
                <w:color w:val="000000"/>
                <w:spacing w:val="-10"/>
                <w:szCs w:val="21"/>
              </w:rPr>
              <w:t>能源计量管理，</w:t>
            </w:r>
            <w:r>
              <w:rPr>
                <w:rFonts w:hint="eastAsia" w:ascii="宋体"/>
                <w:color w:val="000000"/>
                <w:spacing w:val="-10"/>
                <w:szCs w:val="21"/>
              </w:rPr>
              <w:sym w:font="Wingdings 2" w:char="0052"/>
            </w:r>
            <w:r>
              <w:rPr>
                <w:rFonts w:hint="eastAsia" w:ascii="宋体"/>
                <w:color w:val="000000"/>
                <w:spacing w:val="-10"/>
                <w:szCs w:val="21"/>
              </w:rPr>
              <w:t>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4" w:name="二阶段审核日期"/>
            <w:r>
              <w:rPr>
                <w:rFonts w:hint="eastAsia" w:ascii="宋体"/>
                <w:b/>
                <w:color w:val="000000"/>
                <w:szCs w:val="21"/>
              </w:rPr>
              <w:t>2021-11</w:t>
            </w:r>
            <w:bookmarkEnd w:id="34"/>
            <w:r>
              <w:rPr>
                <w:rFonts w:hint="eastAsia" w:ascii="宋体"/>
                <w:b/>
                <w:color w:val="000000"/>
                <w:szCs w:val="21"/>
                <w:lang w:val="en-US" w:eastAsia="zh-CN"/>
              </w:rPr>
              <w:t>月下旬</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0" w:firstLineChars="400"/>
        <w:rPr>
          <w:rFonts w:ascii="宋体"/>
          <w:b/>
          <w:color w:val="000000"/>
          <w:szCs w:val="21"/>
        </w:rPr>
      </w:pPr>
      <w:r>
        <w:drawing>
          <wp:anchor distT="0" distB="0" distL="0" distR="0" simplePos="0" relativeHeight="251663360" behindDoc="0" locked="0" layoutInCell="1" allowOverlap="1">
            <wp:simplePos x="0" y="0"/>
            <wp:positionH relativeFrom="column">
              <wp:posOffset>1848485</wp:posOffset>
            </wp:positionH>
            <wp:positionV relativeFrom="paragraph">
              <wp:posOffset>71120</wp:posOffset>
            </wp:positionV>
            <wp:extent cx="888365" cy="212725"/>
            <wp:effectExtent l="0" t="0" r="635" b="3175"/>
            <wp:wrapSquare wrapText="bothSides"/>
            <wp:docPr id="1" name="图片 5"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D:\审核任务\电子签\李丽英电子签名.png"/>
                    <pic:cNvPicPr>
                      <a:picLocks noChangeAspect="1"/>
                    </pic:cNvPicPr>
                  </pic:nvPicPr>
                  <pic:blipFill>
                    <a:blip r:embed="rId7"/>
                    <a:stretch>
                      <a:fillRect/>
                    </a:stretch>
                  </pic:blipFill>
                  <pic:spPr>
                    <a:xfrm>
                      <a:off x="0" y="0"/>
                      <a:ext cx="888365" cy="212725"/>
                    </a:xfrm>
                    <a:prstGeom prst="rect">
                      <a:avLst/>
                    </a:prstGeom>
                    <a:noFill/>
                    <a:ln>
                      <a:noFill/>
                    </a:ln>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2021.11.21</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drawing>
          <wp:inline distT="0" distB="0" distL="114300" distR="114300">
            <wp:extent cx="3714115" cy="5210810"/>
            <wp:effectExtent l="0" t="0" r="6985" b="889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8"/>
                    <a:stretch>
                      <a:fillRect/>
                    </a:stretch>
                  </pic:blipFill>
                  <pic:spPr>
                    <a:xfrm>
                      <a:off x="0" y="0"/>
                      <a:ext cx="3714115" cy="5210810"/>
                    </a:xfrm>
                    <a:prstGeom prst="rect">
                      <a:avLst/>
                    </a:prstGeom>
                    <a:noFill/>
                    <a:ln>
                      <a:noFill/>
                    </a:ln>
                  </pic:spPr>
                </pic:pic>
              </a:graphicData>
            </a:graphic>
          </wp:inline>
        </w:drawing>
      </w: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hint="eastAsia" w:eastAsia="隶书"/>
          <w:color w:val="000000"/>
          <w:sz w:val="21"/>
          <w:szCs w:val="21"/>
        </w:rPr>
      </w:pPr>
      <w:r>
        <w:rPr>
          <w:rFonts w:hint="eastAsia" w:eastAsia="隶书"/>
          <w:color w:val="000000"/>
          <w:sz w:val="21"/>
          <w:szCs w:val="21"/>
        </w:rPr>
        <w:t>受审核方：</w:t>
      </w:r>
      <w:r>
        <w:rPr>
          <w:rFonts w:hint="eastAsia" w:eastAsia="隶书"/>
          <w:color w:val="000000"/>
          <w:sz w:val="21"/>
          <w:szCs w:val="21"/>
          <w:lang w:val="en-US" w:eastAsia="zh-CN"/>
        </w:rPr>
        <w:t>石狮</w:t>
      </w:r>
      <w:r>
        <w:rPr>
          <w:rFonts w:hint="eastAsia" w:eastAsia="隶书"/>
          <w:color w:val="000000"/>
          <w:sz w:val="21"/>
          <w:szCs w:val="21"/>
        </w:rPr>
        <w:t>市龙兴隆染织实业有限公司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575"/>
        <w:gridCol w:w="1750"/>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5363"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1750"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5363" w:type="dxa"/>
            <w:gridSpan w:val="2"/>
            <w:vAlign w:val="center"/>
          </w:tcPr>
          <w:p>
            <w:pPr>
              <w:pStyle w:val="6"/>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内审组长及审核员描述有误。</w:t>
            </w:r>
          </w:p>
        </w:tc>
        <w:tc>
          <w:tcPr>
            <w:tcW w:w="1750" w:type="dxa"/>
            <w:vAlign w:val="center"/>
          </w:tcPr>
          <w:p>
            <w:pPr>
              <w:pStyle w:val="6"/>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GB/T23331-2020</w:t>
            </w:r>
          </w:p>
        </w:tc>
        <w:tc>
          <w:tcPr>
            <w:tcW w:w="1133" w:type="dxa"/>
            <w:vAlign w:val="center"/>
          </w:tcPr>
          <w:p>
            <w:pPr>
              <w:pStyle w:val="6"/>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9.2</w:t>
            </w:r>
          </w:p>
        </w:tc>
        <w:tc>
          <w:tcPr>
            <w:tcW w:w="934" w:type="dxa"/>
            <w:vAlign w:val="center"/>
          </w:tcPr>
          <w:p>
            <w:pPr>
              <w:pStyle w:val="6"/>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5363" w:type="dxa"/>
            <w:gridSpan w:val="2"/>
            <w:vAlign w:val="center"/>
          </w:tcPr>
          <w:p>
            <w:pPr>
              <w:pStyle w:val="6"/>
              <w:pBdr>
                <w:bottom w:val="none" w:color="auto" w:sz="0" w:space="0"/>
              </w:pBdr>
              <w:tabs>
                <w:tab w:val="center" w:pos="5737"/>
                <w:tab w:val="clear" w:pos="4153"/>
              </w:tabs>
              <w:jc w:val="both"/>
              <w:rPr>
                <w:rFonts w:hint="eastAsia" w:ascii="Calibri" w:hAnsi="Calibri"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法律法规清单中：“重</w:t>
            </w:r>
            <w:r>
              <w:rPr>
                <w:rFonts w:hint="eastAsia" w:eastAsia="宋体" w:cs="Times New Roman"/>
                <w:color w:val="000000"/>
                <w:sz w:val="21"/>
                <w:szCs w:val="21"/>
                <w:highlight w:val="none"/>
                <w:lang w:val="en-US" w:eastAsia="zh-CN"/>
              </w:rPr>
              <w:t>点用能单位节能管理办法”、“综合能耗计算通则”等未更新；“设备热效率计算通则”等已作废；请修改并举一反三。</w:t>
            </w:r>
          </w:p>
        </w:tc>
        <w:tc>
          <w:tcPr>
            <w:tcW w:w="1750" w:type="dxa"/>
            <w:vAlign w:val="center"/>
          </w:tcPr>
          <w:p>
            <w:pPr>
              <w:pStyle w:val="6"/>
              <w:pBdr>
                <w:bottom w:val="none" w:color="auto" w:sz="0" w:space="0"/>
              </w:pBdr>
              <w:tabs>
                <w:tab w:val="center" w:pos="5737"/>
                <w:tab w:val="clear" w:pos="4153"/>
              </w:tabs>
              <w:jc w:val="both"/>
              <w:rPr>
                <w:rFonts w:hint="eastAsia" w:ascii="Calibri" w:hAnsi="Calibri"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GB/23331-2020</w:t>
            </w:r>
          </w:p>
        </w:tc>
        <w:tc>
          <w:tcPr>
            <w:tcW w:w="1133" w:type="dxa"/>
            <w:vAlign w:val="center"/>
          </w:tcPr>
          <w:p>
            <w:pPr>
              <w:pStyle w:val="6"/>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r>
              <w:rPr>
                <w:rFonts w:hint="eastAsia"/>
                <w:color w:val="000000"/>
                <w:sz w:val="21"/>
                <w:szCs w:val="21"/>
                <w:lang w:val="en-US" w:eastAsia="zh-CN"/>
              </w:rPr>
              <w:t>4.2</w:t>
            </w: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p>
          <w:p>
            <w:pPr>
              <w:pStyle w:val="6"/>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3</w:t>
            </w:r>
          </w:p>
        </w:tc>
        <w:tc>
          <w:tcPr>
            <w:tcW w:w="5363" w:type="dxa"/>
            <w:gridSpan w:val="2"/>
            <w:vAlign w:val="center"/>
          </w:tcPr>
          <w:p>
            <w:pPr>
              <w:pStyle w:val="6"/>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能源评审报告未识别主要能源使用，未识别主要用能设备，未描述主要用能设备的计量器具配备情况</w:t>
            </w:r>
          </w:p>
        </w:tc>
        <w:tc>
          <w:tcPr>
            <w:tcW w:w="1750" w:type="dxa"/>
            <w:vAlign w:val="center"/>
          </w:tcPr>
          <w:p>
            <w:pPr>
              <w:pStyle w:val="6"/>
              <w:keepNext w:val="0"/>
              <w:keepLines w:val="0"/>
              <w:pageBreakBefore w:val="0"/>
              <w:widowControl w:val="0"/>
              <w:pBdr>
                <w:bottom w:val="none" w:color="auto" w:sz="0" w:space="0"/>
              </w:pBdr>
              <w:kinsoku/>
              <w:wordWrap/>
              <w:overflowPunct/>
              <w:topLinePunct w:val="0"/>
              <w:autoSpaceDE/>
              <w:autoSpaceDN/>
              <w:bidi w:val="0"/>
              <w:adjustRightInd/>
              <w:snapToGrid w:val="0"/>
              <w:ind w:right="0" w:rightChars="0"/>
              <w:jc w:val="both"/>
              <w:textAlignment w:val="auto"/>
              <w:rPr>
                <w:rFonts w:hint="default" w:ascii="Calibri" w:hAnsi="Calibri"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GB/23331-2020</w:t>
            </w:r>
          </w:p>
        </w:tc>
        <w:tc>
          <w:tcPr>
            <w:tcW w:w="1133" w:type="dxa"/>
            <w:vAlign w:val="center"/>
          </w:tcPr>
          <w:p>
            <w:pPr>
              <w:pStyle w:val="6"/>
              <w:keepNext w:val="0"/>
              <w:keepLines w:val="0"/>
              <w:pageBreakBefore w:val="0"/>
              <w:widowControl w:val="0"/>
              <w:pBdr>
                <w:bottom w:val="none" w:color="auto" w:sz="0" w:space="0"/>
              </w:pBdr>
              <w:kinsoku/>
              <w:wordWrap/>
              <w:overflowPunct/>
              <w:topLinePunct w:val="0"/>
              <w:autoSpaceDE/>
              <w:autoSpaceDN/>
              <w:bidi w:val="0"/>
              <w:adjustRightInd/>
              <w:snapToGrid w:val="0"/>
              <w:ind w:right="0" w:rightChars="0"/>
              <w:jc w:val="both"/>
              <w:textAlignment w:val="auto"/>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6.2</w:t>
            </w:r>
          </w:p>
        </w:tc>
        <w:tc>
          <w:tcPr>
            <w:tcW w:w="934" w:type="dxa"/>
            <w:vAlign w:val="center"/>
          </w:tcPr>
          <w:p>
            <w:pPr>
              <w:pStyle w:val="6"/>
              <w:keepNext w:val="0"/>
              <w:keepLines w:val="0"/>
              <w:pageBreakBefore w:val="0"/>
              <w:widowControl w:val="0"/>
              <w:pBdr>
                <w:bottom w:val="none" w:color="auto" w:sz="0" w:space="0"/>
              </w:pBdr>
              <w:kinsoku/>
              <w:wordWrap/>
              <w:overflowPunct/>
              <w:topLinePunct w:val="0"/>
              <w:autoSpaceDE/>
              <w:autoSpaceDN/>
              <w:bidi w:val="0"/>
              <w:adjustRightInd/>
              <w:snapToGrid w:val="0"/>
              <w:ind w:right="0" w:rightChars="0"/>
              <w:jc w:val="both"/>
              <w:textAlignment w:val="auto"/>
              <w:rPr>
                <w:rFonts w:hint="eastAsia" w:ascii="Calibri" w:hAnsi="Calibri" w:eastAsia="宋体" w:cs="Times New Roman"/>
                <w:color w:val="000000"/>
                <w:kern w:val="2"/>
                <w:sz w:val="21"/>
                <w:szCs w:val="21"/>
                <w:lang w:val="en-US" w:eastAsia="zh-CN" w:bidi="ar-SA"/>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p>
        </w:tc>
        <w:tc>
          <w:tcPr>
            <w:tcW w:w="5363" w:type="dxa"/>
            <w:gridSpan w:val="2"/>
            <w:vAlign w:val="center"/>
          </w:tcPr>
          <w:p>
            <w:pPr>
              <w:pStyle w:val="6"/>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p>
        </w:tc>
        <w:tc>
          <w:tcPr>
            <w:tcW w:w="1750" w:type="dxa"/>
            <w:vAlign w:val="center"/>
          </w:tcPr>
          <w:p>
            <w:pPr>
              <w:pStyle w:val="6"/>
              <w:keepNext w:val="0"/>
              <w:keepLines w:val="0"/>
              <w:pageBreakBefore w:val="0"/>
              <w:widowControl w:val="0"/>
              <w:pBdr>
                <w:bottom w:val="none" w:color="auto" w:sz="0" w:space="0"/>
              </w:pBdr>
              <w:kinsoku/>
              <w:wordWrap/>
              <w:overflowPunct/>
              <w:topLinePunct w:val="0"/>
              <w:autoSpaceDE/>
              <w:autoSpaceDN/>
              <w:bidi w:val="0"/>
              <w:adjustRightInd/>
              <w:snapToGrid w:val="0"/>
              <w:ind w:right="0" w:rightChars="0"/>
              <w:jc w:val="both"/>
              <w:textAlignment w:val="auto"/>
              <w:rPr>
                <w:rFonts w:hint="default" w:ascii="Calibri" w:hAnsi="Calibri" w:eastAsia="宋体" w:cs="Times New Roman"/>
                <w:color w:val="000000"/>
                <w:kern w:val="2"/>
                <w:sz w:val="21"/>
                <w:szCs w:val="21"/>
                <w:lang w:val="en-US" w:eastAsia="zh-CN" w:bidi="ar-SA"/>
              </w:rPr>
            </w:pPr>
          </w:p>
        </w:tc>
        <w:tc>
          <w:tcPr>
            <w:tcW w:w="1133" w:type="dxa"/>
            <w:vAlign w:val="center"/>
          </w:tcPr>
          <w:p>
            <w:pPr>
              <w:pStyle w:val="6"/>
              <w:keepNext w:val="0"/>
              <w:keepLines w:val="0"/>
              <w:pageBreakBefore w:val="0"/>
              <w:widowControl w:val="0"/>
              <w:pBdr>
                <w:bottom w:val="none" w:color="auto" w:sz="0" w:space="0"/>
              </w:pBdr>
              <w:kinsoku/>
              <w:wordWrap/>
              <w:overflowPunct/>
              <w:topLinePunct w:val="0"/>
              <w:autoSpaceDE/>
              <w:autoSpaceDN/>
              <w:bidi w:val="0"/>
              <w:adjustRightInd/>
              <w:snapToGrid w:val="0"/>
              <w:ind w:right="0" w:rightChars="0"/>
              <w:jc w:val="both"/>
              <w:textAlignment w:val="auto"/>
              <w:rPr>
                <w:rFonts w:hint="default" w:ascii="Calibri" w:hAnsi="Calibri" w:eastAsia="宋体" w:cs="Times New Roman"/>
                <w:color w:val="000000"/>
                <w:kern w:val="2"/>
                <w:sz w:val="21"/>
                <w:szCs w:val="21"/>
                <w:lang w:val="en-US" w:eastAsia="zh-CN" w:bidi="ar-SA"/>
              </w:rPr>
            </w:pPr>
          </w:p>
        </w:tc>
        <w:tc>
          <w:tcPr>
            <w:tcW w:w="934" w:type="dxa"/>
            <w:vAlign w:val="center"/>
          </w:tcPr>
          <w:p>
            <w:pPr>
              <w:pStyle w:val="6"/>
              <w:keepNext w:val="0"/>
              <w:keepLines w:val="0"/>
              <w:pageBreakBefore w:val="0"/>
              <w:widowControl w:val="0"/>
              <w:pBdr>
                <w:bottom w:val="none" w:color="auto" w:sz="0" w:space="0"/>
              </w:pBdr>
              <w:kinsoku/>
              <w:wordWrap/>
              <w:overflowPunct/>
              <w:topLinePunct w:val="0"/>
              <w:autoSpaceDE/>
              <w:autoSpaceDN/>
              <w:bidi w:val="0"/>
              <w:adjustRightInd/>
              <w:snapToGrid w:val="0"/>
              <w:ind w:right="0" w:rightChars="0"/>
              <w:jc w:val="both"/>
              <w:textAlignment w:val="auto"/>
              <w:rPr>
                <w:rFonts w:hint="eastAsia" w:ascii="Calibri" w:hAnsi="Calibri"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5363" w:type="dxa"/>
            <w:gridSpan w:val="2"/>
            <w:vAlign w:val="center"/>
          </w:tcPr>
          <w:p>
            <w:pPr>
              <w:pStyle w:val="6"/>
              <w:pBdr>
                <w:bottom w:val="none" w:color="auto" w:sz="0" w:space="0"/>
              </w:pBdr>
              <w:tabs>
                <w:tab w:val="center" w:pos="5737"/>
                <w:tab w:val="clear" w:pos="4153"/>
              </w:tabs>
              <w:jc w:val="both"/>
              <w:rPr>
                <w:rFonts w:ascii="Calibri" w:hAnsi="Calibri" w:eastAsia="宋体" w:cs="Times New Roman"/>
                <w:color w:val="000000"/>
                <w:kern w:val="2"/>
                <w:sz w:val="21"/>
                <w:szCs w:val="21"/>
                <w:lang w:val="en-US" w:eastAsia="zh-CN" w:bidi="ar-SA"/>
              </w:rPr>
            </w:pPr>
          </w:p>
        </w:tc>
        <w:tc>
          <w:tcPr>
            <w:tcW w:w="1750" w:type="dxa"/>
            <w:vAlign w:val="center"/>
          </w:tcPr>
          <w:p>
            <w:pPr>
              <w:pStyle w:val="6"/>
              <w:keepNext w:val="0"/>
              <w:keepLines w:val="0"/>
              <w:pageBreakBefore w:val="0"/>
              <w:widowControl w:val="0"/>
              <w:pBdr>
                <w:bottom w:val="none" w:color="auto" w:sz="0" w:space="0"/>
              </w:pBdr>
              <w:kinsoku/>
              <w:wordWrap/>
              <w:overflowPunct/>
              <w:topLinePunct w:val="0"/>
              <w:autoSpaceDE/>
              <w:autoSpaceDN/>
              <w:bidi w:val="0"/>
              <w:adjustRightInd/>
              <w:snapToGrid w:val="0"/>
              <w:ind w:right="0" w:rightChars="0"/>
              <w:jc w:val="both"/>
              <w:textAlignment w:val="auto"/>
              <w:rPr>
                <w:rFonts w:hint="default" w:ascii="Calibri" w:hAnsi="Calibri" w:eastAsia="宋体" w:cs="Times New Roman"/>
                <w:color w:val="000000"/>
                <w:kern w:val="2"/>
                <w:sz w:val="21"/>
                <w:szCs w:val="21"/>
                <w:lang w:val="en-US" w:eastAsia="zh-CN" w:bidi="ar-SA"/>
              </w:rPr>
            </w:pPr>
          </w:p>
        </w:tc>
        <w:tc>
          <w:tcPr>
            <w:tcW w:w="1133" w:type="dxa"/>
            <w:vAlign w:val="center"/>
          </w:tcPr>
          <w:p>
            <w:pPr>
              <w:pStyle w:val="6"/>
              <w:keepNext w:val="0"/>
              <w:keepLines w:val="0"/>
              <w:pageBreakBefore w:val="0"/>
              <w:widowControl w:val="0"/>
              <w:pBdr>
                <w:bottom w:val="none" w:color="auto" w:sz="0" w:space="0"/>
              </w:pBdr>
              <w:kinsoku/>
              <w:wordWrap/>
              <w:overflowPunct/>
              <w:topLinePunct w:val="0"/>
              <w:autoSpaceDE/>
              <w:autoSpaceDN/>
              <w:bidi w:val="0"/>
              <w:adjustRightInd/>
              <w:snapToGrid w:val="0"/>
              <w:ind w:right="0" w:rightChars="0"/>
              <w:jc w:val="both"/>
              <w:textAlignment w:val="auto"/>
              <w:rPr>
                <w:rFonts w:hint="default" w:ascii="Calibri" w:hAnsi="Calibri" w:eastAsia="宋体" w:cs="Times New Roman"/>
                <w:color w:val="000000"/>
                <w:kern w:val="2"/>
                <w:sz w:val="21"/>
                <w:szCs w:val="21"/>
                <w:lang w:val="en-US" w:eastAsia="zh-CN" w:bidi="ar-SA"/>
              </w:rPr>
            </w:pPr>
          </w:p>
        </w:tc>
        <w:tc>
          <w:tcPr>
            <w:tcW w:w="934" w:type="dxa"/>
            <w:vAlign w:val="center"/>
          </w:tcPr>
          <w:p>
            <w:pPr>
              <w:pStyle w:val="6"/>
              <w:keepNext w:val="0"/>
              <w:keepLines w:val="0"/>
              <w:pageBreakBefore w:val="0"/>
              <w:widowControl w:val="0"/>
              <w:pBdr>
                <w:bottom w:val="none" w:color="auto" w:sz="0" w:space="0"/>
              </w:pBdr>
              <w:kinsoku/>
              <w:wordWrap/>
              <w:overflowPunct/>
              <w:topLinePunct w:val="0"/>
              <w:autoSpaceDE/>
              <w:autoSpaceDN/>
              <w:bidi w:val="0"/>
              <w:adjustRightInd/>
              <w:snapToGrid w:val="0"/>
              <w:ind w:right="0" w:rightChars="0"/>
              <w:jc w:val="both"/>
              <w:textAlignment w:val="auto"/>
              <w:rPr>
                <w:rFonts w:hint="eastAsia" w:ascii="Calibri" w:hAnsi="Calibri"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drawing>
                <wp:anchor distT="0" distB="0" distL="0" distR="0" simplePos="0" relativeHeight="251662336" behindDoc="0" locked="0" layoutInCell="1" allowOverlap="1">
                  <wp:simplePos x="0" y="0"/>
                  <wp:positionH relativeFrom="column">
                    <wp:posOffset>808990</wp:posOffset>
                  </wp:positionH>
                  <wp:positionV relativeFrom="paragraph">
                    <wp:posOffset>13335</wp:posOffset>
                  </wp:positionV>
                  <wp:extent cx="888365" cy="357505"/>
                  <wp:effectExtent l="0" t="0" r="635" b="10795"/>
                  <wp:wrapSquare wrapText="bothSides"/>
                  <wp:docPr id="5" name="图片 5"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审核任务\电子签\李丽英电子签名.png"/>
                          <pic:cNvPicPr>
                            <a:picLocks noChangeAspect="1"/>
                          </pic:cNvPicPr>
                        </pic:nvPicPr>
                        <pic:blipFill>
                          <a:blip r:embed="rId7"/>
                          <a:stretch>
                            <a:fillRect/>
                          </a:stretch>
                        </pic:blipFill>
                        <pic:spPr>
                          <a:xfrm>
                            <a:off x="0" y="0"/>
                            <a:ext cx="888365" cy="357505"/>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21</w:t>
            </w:r>
            <w:r>
              <w:rPr>
                <w:rFonts w:hint="eastAsia"/>
                <w:b/>
                <w:color w:val="000000"/>
                <w:szCs w:val="21"/>
              </w:rPr>
              <w:t>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陈建平</w:t>
            </w:r>
            <w:bookmarkStart w:id="35" w:name="_GoBack"/>
            <w:bookmarkEnd w:id="35"/>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21</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rFonts w:hint="eastAsia"/>
                <w:b/>
                <w:color w:val="000000"/>
                <w:spacing w:val="-1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p>
          <w:p>
            <w:pPr>
              <w:tabs>
                <w:tab w:val="left" w:pos="8740"/>
              </w:tabs>
              <w:spacing w:line="360" w:lineRule="exact"/>
              <w:rPr>
                <w:b/>
                <w:color w:val="000000"/>
                <w:szCs w:val="21"/>
              </w:rPr>
            </w:pPr>
            <w:r>
              <w:rPr>
                <w:b/>
                <w:color w:val="000000"/>
                <w:spacing w:val="-10"/>
                <w:szCs w:val="21"/>
              </w:rPr>
              <w:tab/>
            </w:r>
          </w:p>
          <w:p>
            <w:pPr>
              <w:spacing w:line="280" w:lineRule="exact"/>
              <w:rPr>
                <w:b/>
                <w:color w:val="000000"/>
                <w:szCs w:val="21"/>
              </w:rPr>
            </w:pPr>
            <w:r>
              <w:drawing>
                <wp:anchor distT="0" distB="0" distL="0" distR="0" simplePos="0" relativeHeight="251669504" behindDoc="0" locked="0" layoutInCell="1" allowOverlap="1">
                  <wp:simplePos x="0" y="0"/>
                  <wp:positionH relativeFrom="column">
                    <wp:posOffset>603250</wp:posOffset>
                  </wp:positionH>
                  <wp:positionV relativeFrom="paragraph">
                    <wp:posOffset>84455</wp:posOffset>
                  </wp:positionV>
                  <wp:extent cx="888365" cy="357505"/>
                  <wp:effectExtent l="0" t="0" r="635" b="10795"/>
                  <wp:wrapSquare wrapText="bothSides"/>
                  <wp:docPr id="6" name="图片 6"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审核任务\电子签\李丽英电子签名.png"/>
                          <pic:cNvPicPr>
                            <a:picLocks noChangeAspect="1"/>
                          </pic:cNvPicPr>
                        </pic:nvPicPr>
                        <pic:blipFill>
                          <a:blip r:embed="rId7"/>
                          <a:stretch>
                            <a:fillRect/>
                          </a:stretch>
                        </pic:blipFill>
                        <pic:spPr>
                          <a:xfrm>
                            <a:off x="0" y="0"/>
                            <a:ext cx="888365" cy="357505"/>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21</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22F110EE"/>
    <w:rsid w:val="41D719DE"/>
    <w:rsid w:val="54F74B09"/>
    <w:rsid w:val="61917552"/>
    <w:rsid w:val="7F1728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1</TotalTime>
  <ScaleCrop>false</ScaleCrop>
  <LinksUpToDate>false</LinksUpToDate>
  <CharactersWithSpaces>9455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丽英</cp:lastModifiedBy>
  <dcterms:modified xsi:type="dcterms:W3CDTF">2021-11-21T07:09:08Z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2052-11.1.0.10314</vt:lpwstr>
  </property>
</Properties>
</file>