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1149-2021-EnMs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晋江市龙兴隆染织实业有限公司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2021年11月17日 上午至2021年11月17日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hint="eastAsia"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23331-2021</w:t>
            </w:r>
          </w:p>
          <w:p>
            <w:pPr>
              <w:rPr>
                <w:rFonts w:hint="eastAsia" w:ascii="宋体" w:hAnsi="宋体"/>
                <w:b/>
                <w:sz w:val="21"/>
                <w:szCs w:val="21"/>
              </w:rPr>
            </w:pPr>
            <w:r>
              <w:rPr>
                <w:rFonts w:hint="eastAsia" w:ascii="宋体" w:hAnsi="宋体"/>
                <w:b/>
                <w:color w:val="000000"/>
                <w:szCs w:val="21"/>
                <w:lang w:val="de-DE"/>
              </w:rPr>
              <w:sym w:font="Wingdings 2" w:char="0052"/>
            </w:r>
            <w:r>
              <w:rPr>
                <w:rFonts w:hint="eastAsia" w:ascii="宋体" w:hAnsi="宋体"/>
                <w:b/>
                <w:sz w:val="21"/>
                <w:szCs w:val="21"/>
              </w:rPr>
              <w:t>RB/T 102-2013 能源管理体系 纺织企业认证要求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河北省石家庄市高新区富力家园；</w:t>
            </w:r>
            <w:r>
              <w:rPr>
                <w:rFonts w:hint="eastAsia" w:ascii="宋体" w:hAnsi="Times New Roman" w:eastAsia="宋体" w:cs="Times New Roman"/>
                <w:b/>
                <w:color w:val="0000FF"/>
                <w:szCs w:val="21"/>
                <w:highlight w:val="none"/>
                <w:lang w:val="en-US" w:eastAsia="zh-CN"/>
              </w:rPr>
              <w:t xml:space="preserve"> 深圳市罗湖区银湖蓝山公寓</w:t>
            </w:r>
            <w:r>
              <w:rPr>
                <w:rFonts w:hint="eastAsia" w:ascii="宋体" w:hAnsi="Times New Roman" w:eastAsia="宋体" w:cs="Times New Roman"/>
                <w:b/>
                <w:color w:val="0000FF"/>
                <w:szCs w:val="21"/>
                <w:lang w:val="en-US" w:eastAsia="zh-CN"/>
              </w:rPr>
              <w:t>（王宁敏）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晋江市龙兴隆染织实业有限公司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晋江市深沪镇东海安开发区</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362240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晋江市深沪镇东海安开发区</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362240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饶小刚</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17750878731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刘长申</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留建藤</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b/>
                <w:color w:val="000000"/>
                <w:szCs w:val="21"/>
              </w:rPr>
            </w:pPr>
            <w:r>
              <w:rPr>
                <w:rFonts w:hint="eastAsia" w:ascii="宋体" w:hAnsi="宋体"/>
                <w:b/>
                <w:color w:val="000000"/>
                <w:szCs w:val="21"/>
              </w:rPr>
              <w:t>产品：</w:t>
            </w:r>
            <w:r>
              <w:rPr>
                <w:rFonts w:hint="eastAsia" w:ascii="宋体"/>
                <w:b/>
                <w:color w:val="000000"/>
                <w:szCs w:val="21"/>
              </w:rPr>
              <w:t>高档织物面料的织染及后整理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r>
              <w:rPr>
                <w:rFonts w:hint="eastAsia"/>
                <w:color w:val="000000"/>
              </w:rPr>
              <w:t>生产/服务流程图：龙兴隆公司印染产品为棉梭织布，主要生产工序前处理工序、染色生产工序以及后处理工序。</w:t>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bookmarkStart w:id="34" w:name="_GoBack"/>
            <w:bookmarkEnd w:id="34"/>
            <w:r>
              <w:rPr>
                <w:rFonts w:hint="eastAsia"/>
                <w:color w:val="000000"/>
              </w:rPr>
              <w:t>生产工艺流程</w:t>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r>
              <w:drawing>
                <wp:inline distT="0" distB="0" distL="114300" distR="114300">
                  <wp:extent cx="4872990" cy="1210310"/>
                  <wp:effectExtent l="0" t="0" r="3810" b="889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872990" cy="12103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r>
              <w:drawing>
                <wp:inline distT="0" distB="0" distL="114300" distR="114300">
                  <wp:extent cx="5002530" cy="1211580"/>
                  <wp:effectExtent l="0" t="0" r="1270" b="762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5002530" cy="12115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rPr>
            </w:pPr>
            <w:r>
              <w:drawing>
                <wp:inline distT="0" distB="0" distL="114300" distR="114300">
                  <wp:extent cx="5097780" cy="1069975"/>
                  <wp:effectExtent l="0" t="0" r="7620"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097780" cy="1069975"/>
                          </a:xfrm>
                          <a:prstGeom prst="rect">
                            <a:avLst/>
                          </a:prstGeom>
                          <a:noFill/>
                          <a:ln>
                            <a:noFill/>
                          </a:ln>
                        </pic:spPr>
                      </pic:pic>
                    </a:graphicData>
                  </a:graphic>
                </wp:inline>
              </w:drawing>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highlight w:val="none"/>
              </w:rPr>
              <w:t>染织活动所涉及的能源管理活动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91"/>
        <w:gridCol w:w="11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9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晋江市深沪镇东海安开发区</w:t>
            </w:r>
          </w:p>
        </w:tc>
        <w:tc>
          <w:tcPr>
            <w:tcW w:w="2267" w:type="dxa"/>
          </w:tcPr>
          <w:p>
            <w:pPr>
              <w:spacing w:before="40" w:after="40"/>
              <w:rPr>
                <w:rFonts w:eastAsia="黑体"/>
                <w:szCs w:val="21"/>
                <w:lang w:val="de-DE" w:eastAsia="ja-JP"/>
              </w:rPr>
            </w:pPr>
            <w:r>
              <w:rPr>
                <w:sz w:val="21"/>
                <w:szCs w:val="21"/>
              </w:rPr>
              <w:t>晋江市深沪镇东海安开发区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375</w:t>
            </w:r>
          </w:p>
        </w:tc>
        <w:tc>
          <w:tcPr>
            <w:tcW w:w="2291" w:type="dxa"/>
            <w:vAlign w:val="center"/>
          </w:tcPr>
          <w:p>
            <w:pPr>
              <w:pStyle w:val="19"/>
              <w:rPr>
                <w:rFonts w:eastAsia="黑体" w:cs="Arial"/>
                <w:sz w:val="21"/>
                <w:szCs w:val="21"/>
                <w:lang w:val="en-US" w:eastAsia="ja-JP"/>
              </w:rPr>
            </w:pPr>
            <w:r>
              <w:rPr>
                <w:highlight w:val="none"/>
              </w:rPr>
              <w:t>染织活动所涉及的能源管理活动</w:t>
            </w:r>
          </w:p>
        </w:tc>
        <w:tc>
          <w:tcPr>
            <w:tcW w:w="1181"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291" w:type="dxa"/>
            <w:vAlign w:val="center"/>
          </w:tcPr>
          <w:p>
            <w:pPr>
              <w:spacing w:before="40" w:after="40"/>
              <w:rPr>
                <w:rFonts w:eastAsia="黑体"/>
                <w:szCs w:val="21"/>
                <w:lang w:eastAsia="ja-JP"/>
              </w:rPr>
            </w:pPr>
          </w:p>
        </w:tc>
        <w:tc>
          <w:tcPr>
            <w:tcW w:w="11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highlight w:val="yellow"/>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）能源绩效是否达到预期</w:t>
            </w:r>
          </w:p>
        </w:tc>
        <w:tc>
          <w:tcPr>
            <w:tcW w:w="918" w:type="dxa"/>
            <w:shd w:val="clear" w:color="auto" w:fill="92D050"/>
          </w:tcPr>
          <w:p>
            <w:pPr>
              <w:rPr>
                <w:rFonts w:ascii="宋体"/>
                <w:color w:val="000000"/>
                <w:spacing w:val="-10"/>
                <w:szCs w:val="21"/>
                <w:highlight w:val="yellow"/>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不适合</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2021-11</w:t>
            </w:r>
            <w:bookmarkEnd w:id="33"/>
            <w:r>
              <w:rPr>
                <w:rFonts w:hint="eastAsia" w:ascii="宋体"/>
                <w:b/>
                <w:color w:val="000000"/>
                <w:szCs w:val="21"/>
                <w:lang w:val="en-US" w:eastAsia="zh-CN"/>
              </w:rPr>
              <w:t>下旬</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default" w:eastAsia="宋体"/>
          <w:lang w:val="en-US" w:eastAsia="zh-CN"/>
        </w:rPr>
        <w:drawing>
          <wp:anchor distT="0" distB="0" distL="114300" distR="114300" simplePos="0" relativeHeight="251661312" behindDoc="0" locked="0" layoutInCell="1" allowOverlap="1">
            <wp:simplePos x="0" y="0"/>
            <wp:positionH relativeFrom="column">
              <wp:posOffset>4191000</wp:posOffset>
            </wp:positionH>
            <wp:positionV relativeFrom="paragraph">
              <wp:posOffset>10795</wp:posOffset>
            </wp:positionV>
            <wp:extent cx="539115" cy="353695"/>
            <wp:effectExtent l="0" t="0" r="6985" b="1905"/>
            <wp:wrapSquare wrapText="bothSides"/>
            <wp:docPr id="4" name="图片 4"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611b729e1be843596d3adf8c2569b2"/>
                    <pic:cNvPicPr>
                      <a:picLocks noChangeAspect="1"/>
                    </pic:cNvPicPr>
                  </pic:nvPicPr>
                  <pic:blipFill>
                    <a:blip r:embed="rId9"/>
                    <a:stretch>
                      <a:fillRect/>
                    </a:stretch>
                  </pic:blipFill>
                  <pic:spPr>
                    <a:xfrm>
                      <a:off x="0" y="0"/>
                      <a:ext cx="539115" cy="353695"/>
                    </a:xfrm>
                    <a:prstGeom prst="rect">
                      <a:avLst/>
                    </a:prstGeom>
                    <a:noFill/>
                    <a:ln>
                      <a:noFill/>
                    </a:ln>
                  </pic:spPr>
                </pic:pic>
              </a:graphicData>
            </a:graphic>
          </wp:anchor>
        </w:drawing>
      </w:r>
      <w:r>
        <w:drawing>
          <wp:anchor distT="0" distB="0" distL="0" distR="0" simplePos="0" relativeHeight="251658240" behindDoc="0" locked="0" layoutInCell="1" allowOverlap="1">
            <wp:simplePos x="0" y="0"/>
            <wp:positionH relativeFrom="column">
              <wp:posOffset>2034540</wp:posOffset>
            </wp:positionH>
            <wp:positionV relativeFrom="paragraph">
              <wp:posOffset>25400</wp:posOffset>
            </wp:positionV>
            <wp:extent cx="888365" cy="345440"/>
            <wp:effectExtent l="0" t="0" r="635" b="10160"/>
            <wp:wrapSquare wrapText="bothSides"/>
            <wp:docPr id="1"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审核任务\电子签\李丽英电子签名.png"/>
                    <pic:cNvPicPr>
                      <a:picLocks noChangeAspect="1"/>
                    </pic:cNvPicPr>
                  </pic:nvPicPr>
                  <pic:blipFill>
                    <a:blip r:embed="rId10"/>
                    <a:stretch>
                      <a:fillRect/>
                    </a:stretch>
                  </pic:blipFill>
                  <pic:spPr>
                    <a:xfrm>
                      <a:off x="0" y="0"/>
                      <a:ext cx="888365" cy="34544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rPr>
      </w:pPr>
      <w:r>
        <w:drawing>
          <wp:anchor distT="0" distB="0" distL="114300" distR="114300" simplePos="0" relativeHeight="251663360" behindDoc="0" locked="0" layoutInCell="1" allowOverlap="1">
            <wp:simplePos x="0" y="0"/>
            <wp:positionH relativeFrom="column">
              <wp:posOffset>638175</wp:posOffset>
            </wp:positionH>
            <wp:positionV relativeFrom="paragraph">
              <wp:posOffset>18415</wp:posOffset>
            </wp:positionV>
            <wp:extent cx="4946015" cy="6800215"/>
            <wp:effectExtent l="0" t="0" r="6985" b="6985"/>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4946015" cy="6800215"/>
                    </a:xfrm>
                    <a:prstGeom prst="rect">
                      <a:avLst/>
                    </a:prstGeom>
                    <a:noFill/>
                    <a:ln>
                      <a:noFill/>
                    </a:ln>
                  </pic:spPr>
                </pic:pic>
              </a:graphicData>
            </a:graphic>
          </wp:anchor>
        </w:drawing>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受审核方：晋江市龙兴隆染织实业有限公司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5"/>
        <w:gridCol w:w="175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管理评审时间2021年9月30日描述有误。</w:t>
            </w:r>
          </w:p>
        </w:tc>
        <w:tc>
          <w:tcPr>
            <w:tcW w:w="1750"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GB/T23331-2020</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9.3</w:t>
            </w:r>
          </w:p>
        </w:tc>
        <w:tc>
          <w:tcPr>
            <w:tcW w:w="934"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363"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法律法规清单中：“重点用能单位节能管理办法”、“综合能耗计算通则”等未更新；“设备热效率计算通则”等已作废；请修改并举一反三。</w:t>
            </w:r>
          </w:p>
        </w:tc>
        <w:tc>
          <w:tcPr>
            <w:tcW w:w="1750" w:type="dxa"/>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GB/23331-2020</w:t>
            </w:r>
          </w:p>
        </w:tc>
        <w:tc>
          <w:tcPr>
            <w:tcW w:w="1133"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未能提供公司级能源目标指标</w:t>
            </w: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6.2</w:t>
            </w: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6.2</w:t>
            </w: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组织机构图与能源管理手册中5.3条款中机构描述有不一致的地方，比如是生产部、技术部还是生产技术部。还有设备厂属于下属机构还是管理机构，不明晰。</w:t>
            </w: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5.3</w:t>
            </w: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5.3</w:t>
            </w: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p>
        </w:tc>
        <w:tc>
          <w:tcPr>
            <w:tcW w:w="1750"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p>
        </w:tc>
        <w:tc>
          <w:tcPr>
            <w:tcW w:w="934"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0" distR="0" simplePos="0" relativeHeight="251662336" behindDoc="0" locked="0" layoutInCell="1" allowOverlap="1">
                  <wp:simplePos x="0" y="0"/>
                  <wp:positionH relativeFrom="column">
                    <wp:posOffset>808990</wp:posOffset>
                  </wp:positionH>
                  <wp:positionV relativeFrom="paragraph">
                    <wp:posOffset>13335</wp:posOffset>
                  </wp:positionV>
                  <wp:extent cx="888365" cy="357505"/>
                  <wp:effectExtent l="0" t="0" r="635" b="10795"/>
                  <wp:wrapSquare wrapText="bothSides"/>
                  <wp:docPr id="5"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审核任务\电子签\李丽英电子签名.png"/>
                          <pic:cNvPicPr>
                            <a:picLocks noChangeAspect="1"/>
                          </pic:cNvPicPr>
                        </pic:nvPicPr>
                        <pic:blipFill>
                          <a:blip r:embed="rId10"/>
                          <a:stretch>
                            <a:fillRect/>
                          </a:stretch>
                        </pic:blipFill>
                        <pic:spPr>
                          <a:xfrm>
                            <a:off x="0" y="0"/>
                            <a:ext cx="888365" cy="35750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饶小刚</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Cs w:val="21"/>
              </w:rPr>
            </w:pP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B03EEE"/>
    <w:rsid w:val="0F8D7956"/>
    <w:rsid w:val="13C0499D"/>
    <w:rsid w:val="3A737DDA"/>
    <w:rsid w:val="4D37214A"/>
    <w:rsid w:val="4D5C39FB"/>
    <w:rsid w:val="62633E8F"/>
    <w:rsid w:val="74D95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 w:type="paragraph" w:customStyle="1" w:styleId="24">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2021-11-25T03:06:52Z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