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sz w:val="21"/>
                <w:szCs w:val="21"/>
              </w:rPr>
              <w:t>福建石狮晨光化纤染织有限公司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97155</wp:posOffset>
                  </wp:positionV>
                  <wp:extent cx="888365" cy="212725"/>
                  <wp:effectExtent l="0" t="0" r="635" b="3175"/>
                  <wp:wrapSquare wrapText="bothSides"/>
                  <wp:docPr id="2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-58420</wp:posOffset>
                  </wp:positionV>
                  <wp:extent cx="539115" cy="353695"/>
                  <wp:effectExtent l="0" t="0" r="6985" b="1905"/>
                  <wp:wrapSquare wrapText="bothSides"/>
                  <wp:docPr id="1" name="图片 1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生产/服务流程图：龙兴隆公司印染产品为棉梭织布，主要生产工序前处理工序、染色生产工序以及后处理工序。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（一） 机织涤纶、尼龙布生产工艺流程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  <w:r>
              <w:drawing>
                <wp:inline distT="0" distB="0" distL="114300" distR="114300">
                  <wp:extent cx="4872990" cy="1210310"/>
                  <wp:effectExtent l="0" t="0" r="381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99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  <w:r>
              <w:drawing>
                <wp:inline distT="0" distB="0" distL="114300" distR="114300">
                  <wp:extent cx="5002530" cy="1077595"/>
                  <wp:effectExtent l="0" t="0" r="1270" b="190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3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097780" cy="1037590"/>
                  <wp:effectExtent l="0" t="0" r="7620" b="381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78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综合能耗tce、单位产品能耗tce/万米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中华人民共和国节约能源法、再生能源法、清洁生产法、重点用能单位管理办法、能源管理体系标准、纺织企业认证要求、相关标准等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70485</wp:posOffset>
                  </wp:positionV>
                  <wp:extent cx="888365" cy="212725"/>
                  <wp:effectExtent l="0" t="0" r="635" b="3175"/>
                  <wp:wrapSquare wrapText="bothSides"/>
                  <wp:docPr id="6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李丽英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9F1137"/>
    <w:rsid w:val="1A791D18"/>
    <w:rsid w:val="399B77E2"/>
    <w:rsid w:val="463475CD"/>
    <w:rsid w:val="7D321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2021-11-17T11:16:44Z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