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1147-2021-QEO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新疆辉腾塑胶有限公司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新疆辉腾塑胶有限公司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新疆昌吉回族自治州昌吉市高新技术产业开发区辉煌大道34号</w:t>
            </w:r>
            <w:bookmarkEnd w:id="6"/>
          </w:p>
        </w:tc>
        <w:tc>
          <w:tcPr>
            <w:tcW w:w="1242" w:type="dxa"/>
            <w:vMerge w:val="restart"/>
            <w:vAlign w:val="center"/>
          </w:tcPr>
          <w:p>
            <w:r>
              <w:rPr>
                <w:rFonts w:hint="eastAsia"/>
              </w:rPr>
              <w:t>邮编</w:t>
            </w:r>
          </w:p>
        </w:tc>
        <w:tc>
          <w:tcPr>
            <w:tcW w:w="1771" w:type="dxa"/>
          </w:tcPr>
          <w:p>
            <w:bookmarkStart w:id="7" w:name="注册邮编"/>
            <w:r>
              <w:t>831100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新疆昌吉回族自治州昌吉市高新技术产业开发区辉煌大道34号</w:t>
            </w:r>
            <w:bookmarkEnd w:id="8"/>
          </w:p>
        </w:tc>
        <w:tc>
          <w:tcPr>
            <w:tcW w:w="1242" w:type="dxa"/>
            <w:vMerge w:val="continue"/>
            <w:vAlign w:val="center"/>
          </w:tcPr>
          <w:p/>
        </w:tc>
        <w:tc>
          <w:tcPr>
            <w:tcW w:w="1771" w:type="dxa"/>
          </w:tcPr>
          <w:p>
            <w:bookmarkStart w:id="9" w:name="办公邮编"/>
            <w:r>
              <w:t>831100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王婷</w:t>
            </w:r>
            <w:bookmarkEnd w:id="10"/>
          </w:p>
        </w:tc>
        <w:tc>
          <w:tcPr>
            <w:tcW w:w="1313" w:type="dxa"/>
            <w:vAlign w:val="center"/>
          </w:tcPr>
          <w:p>
            <w:r>
              <w:rPr>
                <w:rFonts w:hint="eastAsia"/>
              </w:rPr>
              <w:t>电话.</w:t>
            </w:r>
          </w:p>
        </w:tc>
        <w:tc>
          <w:tcPr>
            <w:tcW w:w="2180" w:type="dxa"/>
            <w:vAlign w:val="center"/>
          </w:tcPr>
          <w:p>
            <w:bookmarkStart w:id="11" w:name="联系人电话"/>
            <w:r>
              <w:t>19915062620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周丕学</w:t>
            </w:r>
            <w:bookmarkEnd w:id="13"/>
          </w:p>
        </w:tc>
        <w:tc>
          <w:tcPr>
            <w:tcW w:w="1313" w:type="dxa"/>
            <w:vAlign w:val="center"/>
          </w:tcPr>
          <w:p>
            <w:r>
              <w:rPr>
                <w:rFonts w:hint="eastAsia"/>
              </w:rPr>
              <w:t>管理者代表</w:t>
            </w:r>
          </w:p>
        </w:tc>
        <w:tc>
          <w:tcPr>
            <w:tcW w:w="2180" w:type="dxa"/>
          </w:tcPr>
          <w:p>
            <w:bookmarkStart w:id="14" w:name="管理者代表"/>
            <w:r>
              <w:t>马伟新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80" w:firstLineChars="200"/>
              <w:rPr>
                <w:rFonts w:hint="eastAsia" w:ascii="楷体" w:hAnsi="楷体" w:eastAsia="楷体" w:cs="宋体"/>
                <w:sz w:val="24"/>
                <w:szCs w:val="24"/>
              </w:rPr>
            </w:pPr>
            <w:r>
              <w:rPr>
                <w:rFonts w:hint="eastAsia" w:ascii="楷体" w:hAnsi="楷体" w:eastAsia="楷体" w:cs="宋体"/>
                <w:sz w:val="24"/>
                <w:szCs w:val="24"/>
              </w:rPr>
              <w:t>生产流程：</w:t>
            </w:r>
            <w:r>
              <w:rPr>
                <w:rFonts w:hint="eastAsia" w:ascii="楷体" w:hAnsi="楷体" w:eastAsia="楷体" w:cs="宋体"/>
                <w:sz w:val="24"/>
                <w:szCs w:val="24"/>
                <w:lang w:val="en-US" w:eastAsia="zh-CN"/>
              </w:rPr>
              <w:t>生产任务通知单 → 备料 → 混匀 → 升温 → 成型（定型） → 牵引 → 切割 → 检验 → 包装 → 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2021年11月11日 下午至2021年11月14日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新疆昌吉回族自治州昌吉市高新技术产业开发区辉煌大道34号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rPr>
              <w:sym w:font="Wingdings 2" w:char="00A3"/>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Q：塑料管道的生产</w:t>
            </w:r>
          </w:p>
          <w:p>
            <w:r>
              <w:t>E：塑料管道的生产所涉及场所的相关环境管理活动</w:t>
            </w:r>
          </w:p>
          <w:p>
            <w:r>
              <w:t>O：塑料管道的生产所涉及场所的相关职业健康安全管理活动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t xml:space="preserve">  </w:t>
            </w:r>
            <w:r>
              <w:rPr>
                <w:rFonts w:hint="eastAsia"/>
              </w:rPr>
              <w:t>年</w:t>
            </w:r>
            <w:r>
              <w:rPr>
                <w:rFonts w:hint="eastAsia"/>
                <w:lang w:val="en-US" w:eastAsia="zh-CN"/>
              </w:rPr>
              <w:t xml:space="preserve"> 6</w:t>
            </w:r>
            <w:r>
              <w:t xml:space="preserve">  </w:t>
            </w:r>
            <w:r>
              <w:rPr>
                <w:rFonts w:hint="eastAsia"/>
              </w:rPr>
              <w:t xml:space="preserve">月 </w:t>
            </w:r>
            <w:r>
              <w:rPr>
                <w:rFonts w:hint="eastAsia"/>
                <w:lang w:val="en-US" w:eastAsia="zh-CN"/>
              </w:rPr>
              <w:t>10</w:t>
            </w:r>
            <w:r>
              <w:t xml:space="preserve">  </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新疆辉腾塑胶有限公司</w:t>
            </w:r>
          </w:p>
          <w:p>
            <w:pPr>
              <w:pStyle w:val="3"/>
              <w:rPr>
                <w:lang w:val="de-DE" w:eastAsia="ja-JP"/>
              </w:rPr>
            </w:pPr>
            <w:r>
              <w:rPr>
                <w:rFonts w:asciiTheme="minorEastAsia" w:hAnsiTheme="minorEastAsia" w:eastAsiaTheme="minorEastAsia"/>
                <w:sz w:val="20"/>
              </w:rPr>
              <w:t>新疆昌吉回族自治州昌吉市高新技术产业开发区辉煌大道34号</w:t>
            </w:r>
          </w:p>
        </w:tc>
        <w:tc>
          <w:tcPr>
            <w:tcW w:w="2267" w:type="dxa"/>
          </w:tcPr>
          <w:p>
            <w:pPr>
              <w:rPr>
                <w:lang w:val="de-DE" w:eastAsia="ja-JP"/>
              </w:rPr>
            </w:pPr>
            <w:r>
              <w:rPr>
                <w:rFonts w:asciiTheme="minorEastAsia" w:hAnsiTheme="minorEastAsia" w:eastAsiaTheme="minorEastAsia"/>
                <w:sz w:val="20"/>
              </w:rPr>
              <w:t>新疆昌吉回族自治州昌吉市高新技术产业开发区辉煌大道34号</w:t>
            </w:r>
          </w:p>
        </w:tc>
        <w:tc>
          <w:tcPr>
            <w:tcW w:w="571" w:type="dxa"/>
            <w:vAlign w:val="center"/>
          </w:tcPr>
          <w:p>
            <w:pPr>
              <w:rPr>
                <w:rFonts w:hint="default" w:eastAsia="宋体"/>
                <w:lang w:val="en-US" w:eastAsia="zh-CN"/>
              </w:rPr>
            </w:pPr>
            <w:r>
              <w:rPr>
                <w:rFonts w:hint="eastAsia"/>
                <w:lang w:val="en-US" w:eastAsia="zh-CN"/>
              </w:rPr>
              <w:t>43</w:t>
            </w:r>
          </w:p>
        </w:tc>
        <w:tc>
          <w:tcPr>
            <w:tcW w:w="2803" w:type="dxa"/>
            <w:vAlign w:val="center"/>
          </w:tcPr>
          <w:p>
            <w:pPr>
              <w:rPr>
                <w:sz w:val="20"/>
              </w:rPr>
            </w:pPr>
            <w:r>
              <w:rPr>
                <w:sz w:val="20"/>
              </w:rPr>
              <w:t>Q：塑料管道的生产</w:t>
            </w:r>
          </w:p>
          <w:p>
            <w:pPr>
              <w:rPr>
                <w:sz w:val="20"/>
              </w:rPr>
            </w:pPr>
            <w:r>
              <w:rPr>
                <w:sz w:val="20"/>
              </w:rPr>
              <w:t>E：塑料管道的生产所涉及场所的相关环境管理活动</w:t>
            </w:r>
          </w:p>
          <w:p>
            <w:pPr>
              <w:rPr>
                <w:lang w:eastAsia="ja-JP"/>
              </w:rPr>
            </w:pPr>
            <w:r>
              <w:rPr>
                <w:sz w:val="20"/>
              </w:rPr>
              <w:t>O：塑料管道的生产所涉及场所的相关职业健康安全管理活动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lang w:eastAsia="ja-JP"/>
              </w:rPr>
            </w:pPr>
          </w:p>
        </w:tc>
        <w:tc>
          <w:tcPr>
            <w:tcW w:w="668" w:type="dxa"/>
            <w:shd w:val="clear" w:color="auto" w:fill="FFFFFF"/>
          </w:tcPr>
          <w:p>
            <w:pPr>
              <w:rPr>
                <w:rFonts w:hint="eastAsia" w:ascii="宋体" w:hAnsi="宋体"/>
                <w:b/>
                <w:color w:val="000000"/>
                <w:szCs w:val="21"/>
                <w:lang w:val="en-US" w:eastAsia="zh-CN"/>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default"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vMerge w:val="continue"/>
            <w:tcBorders/>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Borders/>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管理体系方针：以人为本、合法经营、优质高效；清洁生产、保护环境、持续发展；遵规守法、珍爱健康、预防危险</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4"/>
              <w:gridCol w:w="285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4" w:type="dxa"/>
                </w:tcPr>
                <w:p>
                  <w:pPr>
                    <w:shd w:val="clear" w:color="auto" w:fill="C7DAF1" w:themeFill="text2" w:themeFillTint="32"/>
                  </w:pPr>
                  <w:r>
                    <w:rPr>
                      <w:rFonts w:hint="eastAsia"/>
                    </w:rPr>
                    <w:t>主要的风险或机遇描述</w:t>
                  </w:r>
                </w:p>
              </w:tc>
              <w:tc>
                <w:tcPr>
                  <w:tcW w:w="285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4" w:type="dxa"/>
                </w:tcPr>
                <w:p>
                  <w:pPr>
                    <w:shd w:val="clear" w:color="auto" w:fill="C7DAF1" w:themeFill="text2" w:themeFillTint="32"/>
                  </w:pPr>
                  <w:r>
                    <w:rPr>
                      <w:rFonts w:hint="eastAsia"/>
                    </w:rPr>
                    <w:t>公司由总经理负责制，管理人员太多，管理成本高，决策时间长。</w:t>
                  </w:r>
                </w:p>
              </w:tc>
              <w:tc>
                <w:tcPr>
                  <w:tcW w:w="2851" w:type="dxa"/>
                </w:tcPr>
                <w:p>
                  <w:pPr>
                    <w:shd w:val="clear" w:color="auto" w:fill="C7DAF1" w:themeFill="text2" w:themeFillTint="32"/>
                  </w:pPr>
                  <w:r>
                    <w:rPr>
                      <w:rFonts w:hint="eastAsia"/>
                    </w:rPr>
                    <w:t>结构优化</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4" w:type="dxa"/>
                </w:tcPr>
                <w:p>
                  <w:pPr>
                    <w:shd w:val="clear" w:color="auto" w:fill="C7DAF1" w:themeFill="text2" w:themeFillTint="32"/>
                  </w:pPr>
                  <w:r>
                    <w:rPr>
                      <w:rFonts w:hint="eastAsia"/>
                    </w:rPr>
                    <w:t>本公司购置的设备性能属于行业内领先水准，但需要持续维护。</w:t>
                  </w:r>
                </w:p>
              </w:tc>
              <w:tc>
                <w:tcPr>
                  <w:tcW w:w="2851" w:type="dxa"/>
                </w:tcPr>
                <w:p>
                  <w:pPr>
                    <w:shd w:val="clear" w:color="auto" w:fill="C7DAF1" w:themeFill="text2" w:themeFillTint="32"/>
                  </w:pPr>
                  <w:r>
                    <w:rPr>
                      <w:rFonts w:hint="eastAsia"/>
                    </w:rPr>
                    <w:t>加强维修保养，确保设备的性能和精度长期稳定。</w:t>
                  </w: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pPr w:leftFromText="180" w:rightFromText="180" w:vertAnchor="text" w:horzAnchor="page" w:tblpX="210" w:tblpY="215"/>
              <w:tblOverlap w:val="never"/>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823"/>
              <w:gridCol w:w="3456"/>
              <w:gridCol w:w="11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3"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目 标 值</w:t>
                  </w:r>
                </w:p>
              </w:tc>
              <w:tc>
                <w:tcPr>
                  <w:tcW w:w="49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量化</w:t>
                  </w:r>
                </w:p>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指标</w:t>
                  </w:r>
                </w:p>
              </w:tc>
              <w:tc>
                <w:tcPr>
                  <w:tcW w:w="207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测量方法</w:t>
                  </w:r>
                </w:p>
              </w:tc>
              <w:tc>
                <w:tcPr>
                  <w:tcW w:w="697" w:type="pct"/>
                  <w:noWrap w:val="0"/>
                  <w:vAlign w:val="center"/>
                </w:tcPr>
                <w:p>
                  <w:pPr>
                    <w:keepNext w:val="0"/>
                    <w:keepLines w:val="0"/>
                    <w:suppressLineNumbers w:val="0"/>
                    <w:spacing w:before="0" w:beforeAutospacing="0" w:after="0" w:afterAutospacing="0" w:line="360" w:lineRule="exact"/>
                    <w:ind w:left="0" w:right="0"/>
                    <w:jc w:val="center"/>
                    <w:rPr>
                      <w:rFonts w:hint="default"/>
                      <w:b/>
                      <w:color w:val="auto"/>
                      <w:sz w:val="24"/>
                      <w:lang w:val="en-US" w:eastAsia="zh-CN"/>
                    </w:rPr>
                  </w:pPr>
                  <w:r>
                    <w:rPr>
                      <w:rFonts w:hint="eastAsia"/>
                      <w:b/>
                      <w:color w:val="auto"/>
                      <w:sz w:val="24"/>
                      <w:lang w:val="en-US" w:eastAsia="zh-CN"/>
                    </w:rPr>
                    <w:t>频次</w:t>
                  </w:r>
                </w:p>
              </w:tc>
              <w:tc>
                <w:tcPr>
                  <w:tcW w:w="540" w:type="pct"/>
                  <w:noWrap w:val="0"/>
                  <w:vAlign w:val="center"/>
                </w:tcPr>
                <w:p>
                  <w:pPr>
                    <w:keepNext w:val="0"/>
                    <w:keepLines w:val="0"/>
                    <w:suppressLineNumbers w:val="0"/>
                    <w:spacing w:before="0" w:beforeAutospacing="0" w:after="0" w:afterAutospacing="0" w:line="360" w:lineRule="exact"/>
                    <w:ind w:left="0" w:right="0"/>
                    <w:jc w:val="center"/>
                    <w:rPr>
                      <w:rFonts w:hint="default" w:eastAsia="宋体"/>
                      <w:b/>
                      <w:color w:val="auto"/>
                      <w:sz w:val="24"/>
                      <w:lang w:val="en-US" w:eastAsia="zh-CN"/>
                    </w:rPr>
                  </w:pPr>
                  <w:r>
                    <w:rPr>
                      <w:rFonts w:hint="eastAsia"/>
                      <w:b/>
                      <w:color w:val="auto"/>
                      <w:sz w:val="24"/>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产品检验合格率</w:t>
                  </w:r>
                </w:p>
              </w:tc>
              <w:tc>
                <w:tcPr>
                  <w:tcW w:w="823"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zh-CN"/>
                    </w:rPr>
                  </w:pPr>
                  <w:r>
                    <w:rPr>
                      <w:rFonts w:hint="eastAsia" w:ascii="宋体" w:hAnsi="宋体" w:eastAsia="宋体" w:cs="宋体"/>
                      <w:sz w:val="18"/>
                      <w:szCs w:val="18"/>
                    </w:rPr>
                    <w:t>95%</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rPr>
                    <w:t>一次</w:t>
                  </w:r>
                  <w:r>
                    <w:rPr>
                      <w:rFonts w:hint="eastAsia" w:ascii="宋体" w:hAnsi="宋体" w:cs="宋体"/>
                      <w:sz w:val="18"/>
                      <w:szCs w:val="18"/>
                      <w:lang w:val="en-US" w:eastAsia="zh-CN"/>
                    </w:rPr>
                    <w:t>检验</w:t>
                  </w:r>
                  <w:r>
                    <w:rPr>
                      <w:rFonts w:hint="eastAsia" w:ascii="宋体" w:hAnsi="宋体" w:cs="宋体"/>
                      <w:sz w:val="18"/>
                      <w:szCs w:val="18"/>
                    </w:rPr>
                    <w:t>合格数/</w:t>
                  </w:r>
                  <w:r>
                    <w:rPr>
                      <w:rFonts w:hint="eastAsia" w:ascii="宋体" w:hAnsi="宋体" w:cs="宋体"/>
                      <w:sz w:val="18"/>
                      <w:szCs w:val="18"/>
                      <w:lang w:val="en-US" w:eastAsia="zh-CN"/>
                    </w:rPr>
                    <w:t>检验</w:t>
                  </w:r>
                  <w:r>
                    <w:rPr>
                      <w:rFonts w:hint="eastAsia" w:ascii="宋体" w:hAnsi="宋体" w:cs="宋体"/>
                      <w:sz w:val="18"/>
                      <w:szCs w:val="18"/>
                    </w:rPr>
                    <w:t>总数</w:t>
                  </w:r>
                </w:p>
                <w:p>
                  <w:pPr>
                    <w:keepNext w:val="0"/>
                    <w:keepLines w:val="0"/>
                    <w:suppressLineNumbers w:val="0"/>
                    <w:spacing w:before="0" w:beforeAutospacing="0" w:after="0" w:afterAutospacing="0"/>
                    <w:ind w:left="0" w:right="0"/>
                    <w:jc w:val="center"/>
                    <w:rPr>
                      <w:rFonts w:hint="eastAsia"/>
                      <w:color w:val="auto"/>
                      <w:spacing w:val="-6"/>
                      <w:sz w:val="18"/>
                      <w:szCs w:val="18"/>
                    </w:rPr>
                  </w:pPr>
                  <w:r>
                    <w:rPr>
                      <w:rFonts w:hint="eastAsia" w:ascii="宋体" w:hAnsi="宋体" w:cs="宋体"/>
                      <w:sz w:val="18"/>
                      <w:szCs w:val="18"/>
                    </w:rPr>
                    <w:t>×100%</w:t>
                  </w:r>
                </w:p>
              </w:tc>
              <w:tc>
                <w:tcPr>
                  <w:tcW w:w="1161" w:type="dxa"/>
                  <w:noWrap w:val="0"/>
                  <w:vAlign w:val="top"/>
                </w:tcPr>
                <w:p>
                  <w:pPr>
                    <w:tabs>
                      <w:tab w:val="left" w:pos="5824"/>
                    </w:tabs>
                    <w:spacing w:line="360" w:lineRule="auto"/>
                    <w:jc w:val="center"/>
                    <w:rPr>
                      <w:rFonts w:hint="default" w:eastAsia="宋体"/>
                      <w:color w:val="auto"/>
                      <w:sz w:val="18"/>
                      <w:szCs w:val="18"/>
                      <w:lang w:val="en-US" w:eastAsia="zh-CN"/>
                    </w:rPr>
                  </w:pPr>
                  <w:r>
                    <w:rPr>
                      <w:rFonts w:hint="eastAsia"/>
                    </w:rPr>
                    <w:t>季度</w:t>
                  </w:r>
                </w:p>
              </w:tc>
              <w:tc>
                <w:tcPr>
                  <w:tcW w:w="900" w:type="dxa"/>
                  <w:noWrap w:val="0"/>
                  <w:vAlign w:val="center"/>
                </w:tcPr>
                <w:p>
                  <w:pPr>
                    <w:tabs>
                      <w:tab w:val="left" w:pos="5824"/>
                    </w:tabs>
                    <w:spacing w:line="360" w:lineRule="auto"/>
                    <w:jc w:val="center"/>
                    <w:rPr>
                      <w:rFonts w:hint="default" w:eastAsia="宋体"/>
                      <w:color w:val="auto"/>
                      <w:sz w:val="18"/>
                      <w:szCs w:val="18"/>
                      <w:lang w:val="en-US" w:eastAsia="zh-CN"/>
                    </w:rPr>
                  </w:pPr>
                  <w:r>
                    <w:rPr>
                      <w:rFonts w:hint="eastAsia" w:ascii="宋体" w:hAnsi="宋体"/>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顾客满意度达到</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90分以上</w:t>
                  </w:r>
                </w:p>
              </w:tc>
              <w:tc>
                <w:tcPr>
                  <w:tcW w:w="2074" w:type="pct"/>
                  <w:noWrap w:val="0"/>
                  <w:vAlign w:val="center"/>
                </w:tcPr>
                <w:p>
                  <w:pPr>
                    <w:keepNext w:val="0"/>
                    <w:keepLines w:val="0"/>
                    <w:suppressLineNumbers w:val="0"/>
                    <w:spacing w:before="0" w:beforeAutospacing="0" w:after="0" w:afterAutospacing="0"/>
                    <w:ind w:left="0" w:right="0"/>
                    <w:jc w:val="center"/>
                    <w:rPr>
                      <w:rFonts w:hint="default" w:eastAsia="宋体"/>
                      <w:color w:val="auto"/>
                      <w:spacing w:val="-6"/>
                      <w:sz w:val="18"/>
                      <w:szCs w:val="18"/>
                      <w:lang w:val="en-US" w:eastAsia="zh-CN"/>
                    </w:rPr>
                  </w:pPr>
                  <w:r>
                    <w:rPr>
                      <w:rFonts w:hint="default" w:eastAsia="宋体"/>
                      <w:color w:val="auto"/>
                      <w:spacing w:val="-6"/>
                      <w:sz w:val="18"/>
                      <w:szCs w:val="18"/>
                      <w:lang w:val="en-US" w:eastAsia="zh-CN"/>
                    </w:rPr>
                    <w:t>顾客满意度调查总分数/调查顾客总数</w:t>
                  </w:r>
                </w:p>
              </w:tc>
              <w:tc>
                <w:tcPr>
                  <w:tcW w:w="1161" w:type="dxa"/>
                  <w:noWrap w:val="0"/>
                  <w:vAlign w:val="top"/>
                </w:tcPr>
                <w:p>
                  <w:pPr>
                    <w:tabs>
                      <w:tab w:val="left" w:pos="5824"/>
                    </w:tabs>
                    <w:spacing w:line="360" w:lineRule="auto"/>
                    <w:jc w:val="center"/>
                    <w:rPr>
                      <w:rFonts w:hint="eastAsia" w:eastAsia="宋体"/>
                      <w:color w:val="auto"/>
                      <w:sz w:val="18"/>
                      <w:szCs w:val="18"/>
                      <w:lang w:val="en-US" w:eastAsia="zh-CN"/>
                    </w:rPr>
                  </w:pPr>
                  <w:r>
                    <w:rPr>
                      <w:rFonts w:hint="eastAsia"/>
                    </w:rPr>
                    <w:t>季度</w:t>
                  </w:r>
                </w:p>
              </w:tc>
              <w:tc>
                <w:tcPr>
                  <w:tcW w:w="900" w:type="dxa"/>
                  <w:noWrap w:val="0"/>
                  <w:vAlign w:val="center"/>
                </w:tcPr>
                <w:p>
                  <w:pPr>
                    <w:tabs>
                      <w:tab w:val="left" w:pos="5824"/>
                    </w:tabs>
                    <w:spacing w:line="360" w:lineRule="auto"/>
                    <w:jc w:val="center"/>
                    <w:rPr>
                      <w:rFonts w:hint="default" w:eastAsia="宋体"/>
                      <w:color w:val="auto"/>
                      <w:sz w:val="18"/>
                      <w:szCs w:val="18"/>
                      <w:lang w:val="en-US" w:eastAsia="zh-CN"/>
                    </w:rPr>
                  </w:pPr>
                  <w:r>
                    <w:rPr>
                      <w:rFonts w:hint="eastAsia" w:ascii="宋体" w:hAnsi="宋体" w:eastAsia="宋体"/>
                      <w:lang w:val="en-US" w:eastAsia="zh-CN"/>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 xml:space="preserve">培训计划及时完成率 </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100%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lang w:val="en-US" w:eastAsia="zh-CN"/>
                    </w:rPr>
                    <w:t>实际培训次</w:t>
                  </w:r>
                  <w:r>
                    <w:rPr>
                      <w:rFonts w:hint="eastAsia" w:ascii="宋体" w:hAnsi="宋体" w:cs="宋体"/>
                      <w:sz w:val="18"/>
                      <w:szCs w:val="18"/>
                    </w:rPr>
                    <w:t>数/</w:t>
                  </w:r>
                  <w:r>
                    <w:rPr>
                      <w:rFonts w:hint="eastAsia" w:ascii="宋体" w:hAnsi="宋体" w:cs="宋体"/>
                      <w:sz w:val="18"/>
                      <w:szCs w:val="18"/>
                      <w:lang w:val="en-US" w:eastAsia="zh-CN"/>
                    </w:rPr>
                    <w:t>培训计划</w:t>
                  </w:r>
                  <w:r>
                    <w:rPr>
                      <w:rFonts w:hint="eastAsia" w:ascii="宋体" w:hAnsi="宋体" w:cs="宋体"/>
                      <w:sz w:val="18"/>
                      <w:szCs w:val="18"/>
                    </w:rPr>
                    <w:t>总数</w:t>
                  </w:r>
                </w:p>
                <w:p>
                  <w:pPr>
                    <w:keepNext w:val="0"/>
                    <w:keepLines w:val="0"/>
                    <w:suppressLineNumbers w:val="0"/>
                    <w:spacing w:before="0" w:beforeAutospacing="0" w:after="0" w:afterAutospacing="0"/>
                    <w:ind w:left="0" w:right="0"/>
                    <w:jc w:val="center"/>
                    <w:rPr>
                      <w:rFonts w:hint="eastAsia" w:eastAsia="宋体"/>
                      <w:color w:val="auto"/>
                      <w:spacing w:val="-6"/>
                      <w:sz w:val="18"/>
                      <w:szCs w:val="18"/>
                      <w:lang w:val="en-US" w:eastAsia="zh-CN"/>
                    </w:rPr>
                  </w:pPr>
                  <w:r>
                    <w:rPr>
                      <w:rFonts w:hint="eastAsia" w:ascii="宋体" w:hAnsi="宋体" w:cs="宋体"/>
                      <w:sz w:val="18"/>
                      <w:szCs w:val="18"/>
                    </w:rPr>
                    <w:t>×100%</w:t>
                  </w:r>
                </w:p>
              </w:tc>
              <w:tc>
                <w:tcPr>
                  <w:tcW w:w="1161" w:type="dxa"/>
                  <w:noWrap w:val="0"/>
                  <w:vAlign w:val="top"/>
                </w:tcPr>
                <w:p>
                  <w:pPr>
                    <w:tabs>
                      <w:tab w:val="left" w:pos="5824"/>
                    </w:tabs>
                    <w:spacing w:line="360" w:lineRule="auto"/>
                    <w:jc w:val="center"/>
                    <w:rPr>
                      <w:rFonts w:hint="default" w:eastAsia="宋体"/>
                      <w:color w:val="auto"/>
                      <w:sz w:val="18"/>
                      <w:szCs w:val="18"/>
                      <w:lang w:val="en-US" w:eastAsia="zh-CN"/>
                    </w:rPr>
                  </w:pPr>
                  <w:r>
                    <w:rPr>
                      <w:rFonts w:hint="eastAsia"/>
                      <w:lang w:val="en-US" w:eastAsia="zh-CN"/>
                    </w:rPr>
                    <w:t>季度</w:t>
                  </w:r>
                </w:p>
              </w:tc>
              <w:tc>
                <w:tcPr>
                  <w:tcW w:w="900" w:type="dxa"/>
                  <w:noWrap w:val="0"/>
                  <w:vAlign w:val="center"/>
                </w:tcPr>
                <w:p>
                  <w:pPr>
                    <w:tabs>
                      <w:tab w:val="left" w:pos="5824"/>
                    </w:tabs>
                    <w:spacing w:line="360" w:lineRule="auto"/>
                    <w:jc w:val="center"/>
                    <w:rPr>
                      <w:rFonts w:hint="default" w:eastAsia="宋体"/>
                      <w:color w:val="auto"/>
                      <w:sz w:val="18"/>
                      <w:szCs w:val="18"/>
                      <w:lang w:val="en-US" w:eastAsia="zh-CN"/>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生产任务按时完成率</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95%</w:t>
                  </w:r>
                </w:p>
              </w:tc>
              <w:tc>
                <w:tcPr>
                  <w:tcW w:w="2074" w:type="pct"/>
                  <w:noWrap w:val="0"/>
                  <w:vAlign w:val="center"/>
                </w:tcPr>
                <w:p>
                  <w:pPr>
                    <w:keepNext w:val="0"/>
                    <w:keepLines w:val="0"/>
                    <w:suppressLineNumbers w:val="0"/>
                    <w:spacing w:before="0" w:beforeAutospacing="0" w:after="0" w:afterAutospacing="0"/>
                    <w:ind w:left="0" w:right="0"/>
                    <w:jc w:val="center"/>
                    <w:rPr>
                      <w:rFonts w:hint="eastAsia"/>
                      <w:spacing w:val="-6"/>
                      <w:sz w:val="18"/>
                      <w:szCs w:val="18"/>
                    </w:rPr>
                  </w:pPr>
                  <w:r>
                    <w:rPr>
                      <w:rFonts w:hint="eastAsia" w:ascii="宋体" w:hAnsi="宋体" w:cs="宋体"/>
                      <w:sz w:val="18"/>
                      <w:szCs w:val="18"/>
                      <w:lang w:val="en-US" w:eastAsia="zh-CN"/>
                    </w:rPr>
                    <w:t>生产计划完成</w:t>
                  </w:r>
                  <w:r>
                    <w:rPr>
                      <w:rFonts w:hint="eastAsia" w:ascii="宋体" w:hAnsi="宋体" w:cs="宋体"/>
                      <w:sz w:val="18"/>
                      <w:szCs w:val="18"/>
                    </w:rPr>
                    <w:t>数/</w:t>
                  </w:r>
                  <w:r>
                    <w:rPr>
                      <w:rFonts w:hint="eastAsia" w:ascii="宋体" w:hAnsi="宋体" w:cs="宋体"/>
                      <w:sz w:val="18"/>
                      <w:szCs w:val="18"/>
                      <w:lang w:val="en-US" w:eastAsia="zh-CN"/>
                    </w:rPr>
                    <w:t>生产计划</w:t>
                  </w:r>
                  <w:r>
                    <w:rPr>
                      <w:rFonts w:hint="eastAsia" w:ascii="宋体" w:hAnsi="宋体" w:cs="宋体"/>
                      <w:sz w:val="18"/>
                      <w:szCs w:val="18"/>
                    </w:rPr>
                    <w:t>总数×100%</w:t>
                  </w:r>
                </w:p>
              </w:tc>
              <w:tc>
                <w:tcPr>
                  <w:tcW w:w="1161" w:type="dxa"/>
                  <w:noWrap w:val="0"/>
                  <w:vAlign w:val="top"/>
                </w:tcPr>
                <w:p>
                  <w:pPr>
                    <w:tabs>
                      <w:tab w:val="left" w:pos="5824"/>
                    </w:tabs>
                    <w:spacing w:line="360" w:lineRule="auto"/>
                    <w:jc w:val="center"/>
                    <w:rPr>
                      <w:rFonts w:hint="eastAsia" w:ascii="宋体" w:hAnsi="宋体"/>
                      <w:color w:val="auto"/>
                      <w:spacing w:val="-20"/>
                      <w:sz w:val="18"/>
                      <w:szCs w:val="18"/>
                      <w:lang w:val="en-US" w:eastAsia="zh-CN"/>
                    </w:rPr>
                  </w:pPr>
                  <w:r>
                    <w:rPr>
                      <w:rFonts w:hint="eastAsia"/>
                      <w:lang w:val="en-US" w:eastAsia="zh-CN"/>
                    </w:rPr>
                    <w:t>季度</w:t>
                  </w:r>
                </w:p>
              </w:tc>
              <w:tc>
                <w:tcPr>
                  <w:tcW w:w="900" w:type="dxa"/>
                  <w:noWrap w:val="0"/>
                  <w:vAlign w:val="center"/>
                </w:tcPr>
                <w:p>
                  <w:pPr>
                    <w:tabs>
                      <w:tab w:val="left" w:pos="5824"/>
                    </w:tabs>
                    <w:spacing w:line="360" w:lineRule="auto"/>
                    <w:jc w:val="center"/>
                    <w:rPr>
                      <w:rFonts w:hint="eastAsia"/>
                      <w:color w:val="auto"/>
                      <w:sz w:val="18"/>
                      <w:szCs w:val="18"/>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合同履行率</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2074" w:type="pct"/>
                  <w:noWrap w:val="0"/>
                  <w:vAlign w:val="center"/>
                </w:tcPr>
                <w:p>
                  <w:pPr>
                    <w:keepNext w:val="0"/>
                    <w:keepLines w:val="0"/>
                    <w:suppressLineNumbers w:val="0"/>
                    <w:spacing w:before="0" w:beforeAutospacing="0" w:after="0" w:afterAutospacing="0"/>
                    <w:ind w:left="0" w:right="0"/>
                    <w:jc w:val="center"/>
                    <w:rPr>
                      <w:rFonts w:hint="eastAsia"/>
                      <w:spacing w:val="-6"/>
                      <w:sz w:val="18"/>
                      <w:szCs w:val="18"/>
                    </w:rPr>
                  </w:pPr>
                  <w:r>
                    <w:rPr>
                      <w:rFonts w:hint="eastAsia" w:ascii="宋体" w:hAnsi="宋体" w:cs="宋体"/>
                      <w:sz w:val="18"/>
                      <w:szCs w:val="18"/>
                      <w:lang w:val="en-US" w:eastAsia="zh-CN"/>
                    </w:rPr>
                    <w:t>合同履行次</w:t>
                  </w:r>
                  <w:r>
                    <w:rPr>
                      <w:rFonts w:hint="eastAsia" w:ascii="宋体" w:hAnsi="宋体" w:cs="宋体"/>
                      <w:sz w:val="18"/>
                      <w:szCs w:val="18"/>
                    </w:rPr>
                    <w:t>数/</w:t>
                  </w:r>
                  <w:r>
                    <w:rPr>
                      <w:rFonts w:hint="eastAsia" w:ascii="宋体" w:hAnsi="宋体" w:cs="宋体"/>
                      <w:sz w:val="18"/>
                      <w:szCs w:val="18"/>
                      <w:lang w:val="en-US" w:eastAsia="zh-CN"/>
                    </w:rPr>
                    <w:t>签订合同</w:t>
                  </w:r>
                  <w:r>
                    <w:rPr>
                      <w:rFonts w:hint="eastAsia" w:ascii="宋体" w:hAnsi="宋体" w:cs="宋体"/>
                      <w:sz w:val="18"/>
                      <w:szCs w:val="18"/>
                    </w:rPr>
                    <w:t>总数×100%</w:t>
                  </w:r>
                </w:p>
              </w:tc>
              <w:tc>
                <w:tcPr>
                  <w:tcW w:w="1161" w:type="dxa"/>
                  <w:noWrap w:val="0"/>
                  <w:vAlign w:val="top"/>
                </w:tcPr>
                <w:p>
                  <w:pPr>
                    <w:tabs>
                      <w:tab w:val="left" w:pos="5824"/>
                    </w:tabs>
                    <w:spacing w:line="360" w:lineRule="auto"/>
                    <w:jc w:val="center"/>
                    <w:rPr>
                      <w:rFonts w:hint="eastAsia" w:ascii="宋体" w:hAnsi="宋体"/>
                      <w:color w:val="auto"/>
                      <w:spacing w:val="-20"/>
                      <w:sz w:val="18"/>
                      <w:szCs w:val="18"/>
                      <w:lang w:val="en-US" w:eastAsia="zh-CN"/>
                    </w:rPr>
                  </w:pPr>
                  <w:r>
                    <w:rPr>
                      <w:rFonts w:hint="eastAsia"/>
                    </w:rPr>
                    <w:t>季度</w:t>
                  </w:r>
                </w:p>
              </w:tc>
              <w:tc>
                <w:tcPr>
                  <w:tcW w:w="900" w:type="dxa"/>
                  <w:noWrap w:val="0"/>
                  <w:vAlign w:val="center"/>
                </w:tcPr>
                <w:p>
                  <w:pPr>
                    <w:tabs>
                      <w:tab w:val="left" w:pos="5824"/>
                    </w:tabs>
                    <w:spacing w:line="360" w:lineRule="auto"/>
                    <w:jc w:val="center"/>
                    <w:rPr>
                      <w:rFonts w:hint="default" w:eastAsia="宋体"/>
                      <w:color w:val="auto"/>
                      <w:sz w:val="18"/>
                      <w:szCs w:val="18"/>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固废处置率</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rPr>
                    <w:t>固废及时处理数/固废处理总数×100%</w:t>
                  </w:r>
                </w:p>
              </w:tc>
              <w:tc>
                <w:tcPr>
                  <w:tcW w:w="1161" w:type="dxa"/>
                  <w:noWrap w:val="0"/>
                  <w:vAlign w:val="top"/>
                </w:tcPr>
                <w:p>
                  <w:pPr>
                    <w:tabs>
                      <w:tab w:val="left" w:pos="5824"/>
                    </w:tabs>
                    <w:spacing w:line="360" w:lineRule="auto"/>
                    <w:jc w:val="center"/>
                    <w:rPr>
                      <w:rFonts w:hint="eastAsia" w:ascii="宋体" w:hAnsi="宋体" w:cs="宋体"/>
                      <w:bCs/>
                      <w:sz w:val="18"/>
                      <w:szCs w:val="18"/>
                    </w:rPr>
                  </w:pPr>
                  <w:r>
                    <w:rPr>
                      <w:rFonts w:hint="eastAsia"/>
                    </w:rPr>
                    <w:t>季度</w:t>
                  </w:r>
                </w:p>
              </w:tc>
              <w:tc>
                <w:tcPr>
                  <w:tcW w:w="900" w:type="dxa"/>
                  <w:noWrap w:val="0"/>
                  <w:vAlign w:val="center"/>
                </w:tcPr>
                <w:p>
                  <w:pPr>
                    <w:tabs>
                      <w:tab w:val="left" w:pos="5824"/>
                    </w:tabs>
                    <w:spacing w:line="360" w:lineRule="auto"/>
                    <w:jc w:val="center"/>
                    <w:rPr>
                      <w:rFonts w:hint="eastAsia" w:ascii="宋体" w:hAnsi="宋体" w:cs="宋?"/>
                      <w:kern w:val="0"/>
                      <w:sz w:val="18"/>
                      <w:szCs w:val="18"/>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火灾事故</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1161" w:type="dxa"/>
                  <w:noWrap w:val="0"/>
                  <w:vAlign w:val="top"/>
                </w:tcPr>
                <w:p>
                  <w:pPr>
                    <w:tabs>
                      <w:tab w:val="left" w:pos="5824"/>
                    </w:tabs>
                    <w:spacing w:line="360" w:lineRule="auto"/>
                    <w:jc w:val="center"/>
                    <w:rPr>
                      <w:rFonts w:hint="eastAsia" w:ascii="宋体" w:hAnsi="宋体" w:cs="宋体"/>
                      <w:bCs/>
                      <w:sz w:val="18"/>
                      <w:szCs w:val="18"/>
                    </w:rPr>
                  </w:pPr>
                  <w:r>
                    <w:rPr>
                      <w:rFonts w:hint="eastAsia"/>
                    </w:rPr>
                    <w:t>季度</w:t>
                  </w:r>
                </w:p>
              </w:tc>
              <w:tc>
                <w:tcPr>
                  <w:tcW w:w="900" w:type="dxa"/>
                  <w:noWrap w:val="0"/>
                  <w:vAlign w:val="center"/>
                </w:tcPr>
                <w:p>
                  <w:pPr>
                    <w:tabs>
                      <w:tab w:val="left" w:pos="5824"/>
                    </w:tabs>
                    <w:spacing w:line="360" w:lineRule="auto"/>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职业病</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1161" w:type="dxa"/>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900" w:type="dxa"/>
                  <w:noWrap w:val="0"/>
                  <w:vAlign w:val="center"/>
                </w:tcPr>
                <w:p>
                  <w:pPr>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重大伤亡事故</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1161" w:type="dxa"/>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900" w:type="dxa"/>
                  <w:noWrap w:val="0"/>
                  <w:vAlign w:val="center"/>
                </w:tcPr>
                <w:p>
                  <w:pPr>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环境污染事故率</w:t>
                  </w:r>
                </w:p>
              </w:tc>
              <w:tc>
                <w:tcPr>
                  <w:tcW w:w="8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1161" w:type="dxa"/>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900" w:type="dxa"/>
                  <w:noWrap w:val="0"/>
                  <w:vAlign w:val="center"/>
                </w:tcPr>
                <w:p>
                  <w:pPr>
                    <w:tabs>
                      <w:tab w:val="left" w:pos="5824"/>
                    </w:tabs>
                    <w:spacing w:line="360" w:lineRule="auto"/>
                    <w:jc w:val="center"/>
                    <w:rPr>
                      <w:rFonts w:hint="eastAsia" w:ascii="宋体" w:hAnsi="宋体" w:cs="宋?"/>
                      <w:kern w:val="0"/>
                      <w:sz w:val="18"/>
                      <w:szCs w:val="18"/>
                    </w:rPr>
                  </w:pPr>
                  <w:r>
                    <w:rPr>
                      <w:rFonts w:hint="eastAsia" w:ascii="宋体" w:hAnsi="宋体"/>
                      <w:lang w:val="en-US" w:eastAsia="zh-CN"/>
                    </w:rPr>
                    <w:t>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color w:val="000000"/>
                <w:sz w:val="24"/>
                <w:szCs w:val="24"/>
              </w:rPr>
              <w:t>66666.7（100亩）</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lang w:eastAsia="zh-CN"/>
              </w:rPr>
              <w:t xml:space="preserve"> 主要生产设备有：</w:t>
            </w:r>
            <w:r>
              <w:rPr>
                <w:rFonts w:hint="eastAsia"/>
                <w:u w:val="single"/>
                <w:lang w:val="en-US" w:eastAsia="zh-CN"/>
              </w:rPr>
              <w:t xml:space="preserve">  </w:t>
            </w:r>
            <w:r>
              <w:rPr>
                <w:color w:val="auto"/>
                <w:u w:val="single"/>
              </w:rPr>
              <w:t xml:space="preserve"> </w:t>
            </w:r>
            <w:r>
              <w:rPr>
                <w:rFonts w:hint="eastAsia"/>
                <w:color w:val="auto"/>
                <w:u w:val="single"/>
                <w:lang w:val="en-US" w:eastAsia="zh-CN"/>
              </w:rPr>
              <w:t>PE给水管生产线</w:t>
            </w:r>
            <w:r>
              <w:rPr>
                <w:rFonts w:hint="eastAsia"/>
                <w:color w:val="auto"/>
                <w:u w:val="single"/>
              </w:rPr>
              <w:t>、</w:t>
            </w:r>
            <w:r>
              <w:rPr>
                <w:rFonts w:hint="eastAsia"/>
                <w:color w:val="auto"/>
                <w:u w:val="single"/>
                <w:lang w:val="en-US" w:eastAsia="zh-CN"/>
              </w:rPr>
              <w:t>钢丝过塑线</w:t>
            </w:r>
            <w:r>
              <w:rPr>
                <w:rFonts w:hint="eastAsia"/>
                <w:color w:val="auto"/>
                <w:u w:val="single"/>
              </w:rPr>
              <w:t>、</w:t>
            </w:r>
            <w:r>
              <w:rPr>
                <w:rFonts w:hint="eastAsia"/>
                <w:color w:val="auto"/>
                <w:u w:val="single"/>
                <w:lang w:val="en-US" w:eastAsia="zh-CN"/>
              </w:rPr>
              <w:t>PE双臂</w:t>
            </w:r>
            <w:r>
              <w:rPr>
                <w:rFonts w:hint="eastAsia"/>
                <w:color w:val="auto"/>
                <w:u w:val="single"/>
              </w:rPr>
              <w:t>波纹管生产线、</w:t>
            </w:r>
            <w:r>
              <w:rPr>
                <w:rFonts w:hint="eastAsia"/>
                <w:color w:val="auto"/>
                <w:u w:val="single"/>
                <w:lang w:val="en-US" w:eastAsia="zh-CN"/>
              </w:rPr>
              <w:t>分丝</w:t>
            </w:r>
            <w:r>
              <w:rPr>
                <w:rFonts w:hint="eastAsia"/>
                <w:color w:val="auto"/>
                <w:u w:val="single"/>
                <w:lang w:eastAsia="zh-CN"/>
              </w:rPr>
              <w:t>线</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w:t>
            </w:r>
            <w:r>
              <w:rPr>
                <w:rFonts w:hint="eastAsia"/>
                <w:color w:val="auto"/>
                <w:u w:val="single"/>
                <w:lang w:eastAsia="zh-CN"/>
              </w:rPr>
              <w:t>电子拉力试验机、游标卡尺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产品相关法规</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32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pPr>
                    <w:shd w:val="clear" w:color="auto" w:fill="C7DAF1" w:themeFill="text2" w:themeFillTint="32"/>
                    <w:jc w:val="left"/>
                  </w:pPr>
                  <w:r>
                    <w:rPr>
                      <w:rFonts w:hint="eastAsia"/>
                    </w:rPr>
                    <w:t>产品/服务名称</w:t>
                  </w:r>
                </w:p>
              </w:tc>
              <w:tc>
                <w:tcPr>
                  <w:tcW w:w="32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pPr>
                    <w:shd w:val="clear" w:color="auto" w:fill="C7DAF1" w:themeFill="text2" w:themeFillTint="32"/>
                    <w:jc w:val="left"/>
                  </w:pPr>
                  <w:r>
                    <w:t>塑料管道的生产</w:t>
                  </w:r>
                </w:p>
              </w:tc>
              <w:tc>
                <w:tcPr>
                  <w:tcW w:w="3240" w:type="dxa"/>
                </w:tcPr>
                <w:p>
                  <w:pPr>
                    <w:shd w:val="clear" w:color="auto" w:fill="C7DAF1" w:themeFill="text2" w:themeFillTint="32"/>
                    <w:jc w:val="left"/>
                  </w:pPr>
                  <w:r>
                    <w:rPr>
                      <w:rFonts w:hint="eastAsia"/>
                      <w:lang w:val="en-US" w:eastAsia="zh-CN"/>
                    </w:rPr>
                    <w:t>成型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pPr>
                    <w:shd w:val="clear" w:color="auto" w:fill="C7DAF1" w:themeFill="text2" w:themeFillTint="32"/>
                    <w:jc w:val="left"/>
                  </w:pPr>
                </w:p>
              </w:tc>
              <w:tc>
                <w:tcPr>
                  <w:tcW w:w="324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 xml:space="preserve">无 </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2021</w:t>
            </w:r>
            <w:r>
              <w:rPr>
                <w:rFonts w:hint="eastAsia"/>
              </w:rPr>
              <w:t>.</w:t>
            </w:r>
            <w:r>
              <w:rPr>
                <w:rFonts w:hint="eastAsia"/>
                <w:lang w:val="en-US" w:eastAsia="zh-CN"/>
              </w:rPr>
              <w:t>4</w:t>
            </w:r>
            <w:r>
              <w:rPr>
                <w:rFonts w:hint="eastAsia"/>
              </w:rPr>
              <w:t>.</w:t>
            </w:r>
            <w:r>
              <w:rPr>
                <w:rFonts w:hint="eastAsia"/>
                <w:lang w:val="en-US" w:eastAsia="zh-CN"/>
              </w:rPr>
              <w:t>14</w:t>
            </w:r>
            <w:r>
              <w:rPr>
                <w:rFonts w:hint="eastAsia"/>
              </w:rPr>
              <w:t>日</w:t>
            </w:r>
            <w:r>
              <w:rPr>
                <w:rFonts w:hint="eastAsia"/>
                <w:lang w:val="en-US" w:eastAsia="zh-CN"/>
              </w:rPr>
              <w:t>埋地排水用钢带增强聚乙烯（PE）螺旋波纹管</w:t>
            </w:r>
            <w:r>
              <w:rPr>
                <w:rFonts w:hint="eastAsia"/>
              </w:rPr>
              <w:t>，对</w:t>
            </w:r>
            <w:r>
              <w:rPr>
                <w:rFonts w:hint="eastAsia"/>
                <w:lang w:val="en-US" w:eastAsia="zh-CN"/>
              </w:rPr>
              <w:t>外观</w:t>
            </w:r>
            <w:r>
              <w:rPr>
                <w:rFonts w:hint="eastAsia"/>
              </w:rPr>
              <w:t>、</w:t>
            </w:r>
            <w:r>
              <w:rPr>
                <w:rFonts w:hint="eastAsia"/>
                <w:lang w:val="en-US" w:eastAsia="zh-CN"/>
              </w:rPr>
              <w:t>颜色</w:t>
            </w:r>
            <w:r>
              <w:rPr>
                <w:rFonts w:hint="eastAsia"/>
              </w:rPr>
              <w:t>、</w:t>
            </w:r>
            <w:r>
              <w:rPr>
                <w:rFonts w:hint="eastAsia"/>
                <w:lang w:val="en-US" w:eastAsia="zh-CN"/>
              </w:rPr>
              <w:t>环刚度</w:t>
            </w:r>
            <w:r>
              <w:rPr>
                <w:rFonts w:hint="eastAsia"/>
              </w:rPr>
              <w:t>、</w:t>
            </w:r>
            <w:r>
              <w:rPr>
                <w:rFonts w:hint="eastAsia"/>
                <w:lang w:val="en-US" w:eastAsia="zh-CN"/>
              </w:rPr>
              <w:t>环柔性</w:t>
            </w:r>
            <w:r>
              <w:rPr>
                <w:rFonts w:hint="eastAsia"/>
              </w:rPr>
              <w:t>进行了检验，</w:t>
            </w:r>
            <w:r>
              <w:rPr>
                <w:rFonts w:hint="eastAsia"/>
                <w:lang w:val="en-US" w:eastAsia="zh-CN"/>
              </w:rPr>
              <w:t>参照CJ/T225-2011标准，</w:t>
            </w:r>
            <w:r>
              <w:rPr>
                <w:rFonts w:hint="eastAsia"/>
              </w:rPr>
              <w:t>结果合格，</w:t>
            </w:r>
            <w:r>
              <w:rPr>
                <w:rFonts w:hint="eastAsia"/>
                <w:lang w:val="en-US" w:eastAsia="zh-CN"/>
              </w:rPr>
              <w:t>检验机构：新疆维吾尔自治区产品质量监督检验研究院</w:t>
            </w:r>
            <w:r>
              <w:rPr>
                <w:rFonts w:hint="eastAsia"/>
              </w:rPr>
              <w:t xml:space="preserve"> 。</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2021年6月1</w:t>
            </w:r>
            <w:r>
              <w:rPr>
                <w:rFonts w:hint="eastAsia"/>
                <w:color w:val="000000"/>
                <w:szCs w:val="18"/>
                <w:highlight w:val="none"/>
                <w:u w:val="single"/>
                <w:lang w:val="en-US" w:eastAsia="zh-CN"/>
              </w:rPr>
              <w:t>7</w:t>
            </w:r>
            <w:r>
              <w:rPr>
                <w:rFonts w:hint="eastAsia"/>
                <w:color w:val="000000"/>
                <w:szCs w:val="18"/>
                <w:highlight w:val="none"/>
                <w:u w:val="single"/>
              </w:rPr>
              <w:t>日</w:t>
            </w:r>
            <w:r>
              <w:rPr>
                <w:rFonts w:hint="eastAsia"/>
              </w:rPr>
              <w:t>实施了质量管理体系内部审核，对质量管理体系的符合性和有效性进行了审核。内审发现的</w:t>
            </w:r>
            <w:r>
              <w:rPr>
                <w:rFonts w:hint="eastAsia"/>
                <w:u w:val="single"/>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highlight w:val="none"/>
                <w:u w:val="single"/>
                <w:lang w:val="en-US" w:eastAsia="zh-CN"/>
              </w:rPr>
              <w:t>2021</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6</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rFonts w:hint="eastAsia"/>
                <w:color w:val="000000"/>
                <w:szCs w:val="18"/>
                <w:highlight w:val="none"/>
                <w:u w:val="single"/>
                <w:lang w:val="en-US" w:eastAsia="zh-CN"/>
              </w:rPr>
              <w:t>29</w:t>
            </w:r>
            <w:r>
              <w:rPr>
                <w:color w:val="000000"/>
                <w:szCs w:val="18"/>
                <w:highlight w:val="none"/>
                <w:u w:val="single"/>
              </w:rPr>
              <w:t xml:space="preserve"> </w:t>
            </w:r>
            <w:r>
              <w:rPr>
                <w:rFonts w:hint="eastAsia"/>
                <w:color w:val="000000"/>
                <w:szCs w:val="18"/>
                <w:highlight w:val="non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w:t>
            </w:r>
            <w:r>
              <w:rPr>
                <w:rFonts w:hint="eastAsia"/>
                <w:u w:val="single"/>
                <w:lang w:eastAsia="zh-CN"/>
              </w:rPr>
              <w:t>以人为本、合法经营、优质高效；清洁生产、保护环境、持续发展；遵规守法、珍爱健康、预防危险</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27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7" w:type="dxa"/>
                </w:tcPr>
                <w:p>
                  <w:pPr>
                    <w:shd w:val="clear" w:color="auto" w:fill="EBF1DE" w:themeFill="accent3" w:themeFillTint="32"/>
                  </w:pPr>
                  <w:r>
                    <w:rPr>
                      <w:rFonts w:hint="eastAsia"/>
                    </w:rPr>
                    <w:t>主要的风险或机遇描述</w:t>
                  </w:r>
                </w:p>
              </w:tc>
              <w:tc>
                <w:tcPr>
                  <w:tcW w:w="27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pPr>
                    <w:shd w:val="clear" w:color="auto" w:fill="EBF1DE" w:themeFill="accent3" w:themeFillTint="32"/>
                  </w:pPr>
                  <w:r>
                    <w:rPr>
                      <w:rFonts w:hint="eastAsia" w:ascii="宋体" w:hAnsi="宋体" w:eastAsia="宋体" w:cs="宋体"/>
                      <w:sz w:val="18"/>
                      <w:szCs w:val="18"/>
                    </w:rPr>
                    <w:t>公司产品在全国各区域销售，对国家环保法律法规及当地的环保法律法规是否充分收集评估，并转化为公司制度执行，符合环保法律法规要求</w:t>
                  </w:r>
                </w:p>
              </w:tc>
              <w:tc>
                <w:tcPr>
                  <w:tcW w:w="2738" w:type="dxa"/>
                </w:tcPr>
                <w:p>
                  <w:pPr>
                    <w:shd w:val="clear" w:color="auto" w:fill="EBF1DE" w:themeFill="accent3" w:themeFillTint="32"/>
                  </w:pPr>
                  <w:r>
                    <w:rPr>
                      <w:rFonts w:hint="eastAsia" w:ascii="宋体" w:hAnsi="宋体" w:eastAsia="宋体" w:cs="宋体"/>
                      <w:sz w:val="18"/>
                      <w:szCs w:val="18"/>
                    </w:rPr>
                    <w:t>主要职能部门按照要求加强国家环保法律法规及相关产品销售区域所在地法律法规的收集评价</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pPr>
                    <w:shd w:val="clear" w:color="auto" w:fill="EBF1DE" w:themeFill="accent3" w:themeFillTint="32"/>
                  </w:pPr>
                  <w:r>
                    <w:rPr>
                      <w:rFonts w:hint="eastAsia" w:ascii="宋体" w:hAnsi="宋体" w:eastAsia="宋体" w:cs="宋体"/>
                      <w:sz w:val="18"/>
                      <w:szCs w:val="18"/>
                    </w:rPr>
                    <w:t>公司现有的设施、设备，生产运行中会产生噪音</w:t>
                  </w:r>
                  <w:r>
                    <w:rPr>
                      <w:rFonts w:hint="eastAsia" w:ascii="宋体" w:hAnsi="宋体" w:eastAsia="宋体" w:cs="宋体"/>
                      <w:spacing w:val="-6"/>
                      <w:sz w:val="18"/>
                      <w:szCs w:val="18"/>
                    </w:rPr>
                    <w:t>，</w:t>
                  </w:r>
                  <w:r>
                    <w:rPr>
                      <w:rFonts w:hint="eastAsia" w:ascii="宋体" w:hAnsi="宋体" w:eastAsia="宋体" w:cs="宋体"/>
                      <w:sz w:val="18"/>
                      <w:szCs w:val="18"/>
                    </w:rPr>
                    <w:t>带来一定环境风险。</w:t>
                  </w:r>
                </w:p>
              </w:tc>
              <w:tc>
                <w:tcPr>
                  <w:tcW w:w="2738" w:type="dxa"/>
                </w:tcPr>
                <w:p>
                  <w:r>
                    <w:rPr>
                      <w:rFonts w:hint="eastAsia" w:ascii="宋体" w:hAnsi="宋体" w:eastAsia="宋体" w:cs="宋体"/>
                      <w:sz w:val="18"/>
                      <w:szCs w:val="18"/>
                    </w:rPr>
                    <w:t>生产部加强对设备的管理，制定保养计划对设备设施实施保养。</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pPr>
                    <w:shd w:val="clear" w:color="auto" w:fill="EBF1DE" w:themeFill="accent3" w:themeFillTint="32"/>
                  </w:pPr>
                </w:p>
              </w:tc>
              <w:tc>
                <w:tcPr>
                  <w:tcW w:w="2738"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r>
              <w:rPr>
                <w:rFonts w:hint="eastAsia"/>
              </w:rPr>
              <w:sym w:font="Wingdings 2" w:char="0052"/>
            </w:r>
            <w:r>
              <w:rPr>
                <w:rFonts w:hint="eastAsia"/>
              </w:rPr>
              <w:t>环境影响报告表日期：</w:t>
            </w:r>
            <w:r>
              <w:rPr>
                <w:rFonts w:hint="eastAsia"/>
                <w:color w:val="000000"/>
                <w:szCs w:val="18"/>
                <w:lang w:val="en-US" w:eastAsia="zh-CN"/>
              </w:rPr>
              <w:t>关于新疆辉腾塑胶有限公司年产2万吨塑料管道生产基地建设项目环境影响报告表的批复，编号：昌高环发【2020】13号，日期：2020年6月1日</w:t>
            </w:r>
          </w:p>
          <w:p>
            <w:pPr>
              <w:shd w:val="clear" w:color="auto" w:fill="EBF1DE" w:themeFill="accent3" w:themeFillTint="32"/>
            </w:pPr>
            <w:r>
              <w:rPr>
                <w:rFonts w:hint="eastAsia"/>
              </w:rPr>
              <w:t>□环境影响报告书日期：</w:t>
            </w:r>
          </w:p>
          <w:p>
            <w:r>
              <w:rPr>
                <w:rFonts w:hint="eastAsia"/>
              </w:rPr>
              <w:t>□消防验收/备案证明日期：</w:t>
            </w:r>
            <w:r>
              <w:rPr>
                <w:rFonts w:hint="eastAsia"/>
                <w:color w:val="000000"/>
                <w:szCs w:val="18"/>
                <w:lang w:val="en-US" w:eastAsia="zh-CN"/>
              </w:rPr>
              <w:t>消防验收：昌高建消竣备查字【2020】第0036号，2020年12月21日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pPr w:leftFromText="180" w:rightFromText="180" w:vertAnchor="text" w:horzAnchor="page" w:tblpX="210" w:tblpY="215"/>
              <w:tblOverlap w:val="never"/>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823"/>
              <w:gridCol w:w="3456"/>
              <w:gridCol w:w="11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3"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目 标 值</w:t>
                  </w:r>
                </w:p>
              </w:tc>
              <w:tc>
                <w:tcPr>
                  <w:tcW w:w="49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量化</w:t>
                  </w:r>
                </w:p>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指标</w:t>
                  </w:r>
                </w:p>
              </w:tc>
              <w:tc>
                <w:tcPr>
                  <w:tcW w:w="207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测量方法</w:t>
                  </w:r>
                </w:p>
              </w:tc>
              <w:tc>
                <w:tcPr>
                  <w:tcW w:w="697" w:type="pct"/>
                  <w:noWrap w:val="0"/>
                  <w:vAlign w:val="center"/>
                </w:tcPr>
                <w:p>
                  <w:pPr>
                    <w:keepNext w:val="0"/>
                    <w:keepLines w:val="0"/>
                    <w:suppressLineNumbers w:val="0"/>
                    <w:spacing w:before="0" w:beforeAutospacing="0" w:after="0" w:afterAutospacing="0" w:line="360" w:lineRule="exact"/>
                    <w:ind w:left="0" w:right="0"/>
                    <w:jc w:val="center"/>
                    <w:rPr>
                      <w:rFonts w:hint="default"/>
                      <w:b/>
                      <w:color w:val="auto"/>
                      <w:sz w:val="24"/>
                      <w:lang w:val="en-US" w:eastAsia="zh-CN"/>
                    </w:rPr>
                  </w:pPr>
                  <w:r>
                    <w:rPr>
                      <w:rFonts w:hint="eastAsia"/>
                      <w:b/>
                      <w:color w:val="auto"/>
                      <w:sz w:val="24"/>
                      <w:lang w:val="en-US" w:eastAsia="zh-CN"/>
                    </w:rPr>
                    <w:t>频次</w:t>
                  </w:r>
                </w:p>
              </w:tc>
              <w:tc>
                <w:tcPr>
                  <w:tcW w:w="540" w:type="pct"/>
                  <w:noWrap w:val="0"/>
                  <w:vAlign w:val="center"/>
                </w:tcPr>
                <w:p>
                  <w:pPr>
                    <w:keepNext w:val="0"/>
                    <w:keepLines w:val="0"/>
                    <w:suppressLineNumbers w:val="0"/>
                    <w:spacing w:before="0" w:beforeAutospacing="0" w:after="0" w:afterAutospacing="0" w:line="360" w:lineRule="exact"/>
                    <w:ind w:left="0" w:right="0"/>
                    <w:jc w:val="center"/>
                    <w:rPr>
                      <w:rFonts w:hint="default" w:eastAsia="宋体"/>
                      <w:b/>
                      <w:color w:val="auto"/>
                      <w:sz w:val="24"/>
                      <w:lang w:val="en-US" w:eastAsia="zh-CN"/>
                    </w:rPr>
                  </w:pPr>
                  <w:r>
                    <w:rPr>
                      <w:rFonts w:hint="eastAsia"/>
                      <w:b/>
                      <w:color w:val="auto"/>
                      <w:sz w:val="24"/>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固废处置率</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cs="宋体"/>
                      <w:sz w:val="18"/>
                      <w:szCs w:val="18"/>
                    </w:rPr>
                    <w:t>固废及时处理数/固废处理总数×100%</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季度</w:t>
                  </w:r>
                </w:p>
              </w:tc>
              <w:tc>
                <w:tcPr>
                  <w:tcW w:w="540" w:type="pct"/>
                  <w:noWrap w:val="0"/>
                  <w:vAlign w:val="center"/>
                </w:tcPr>
                <w:p>
                  <w:pPr>
                    <w:tabs>
                      <w:tab w:val="left" w:pos="5824"/>
                    </w:tabs>
                    <w:spacing w:line="360" w:lineRule="auto"/>
                    <w:jc w:val="center"/>
                    <w:rPr>
                      <w:rFonts w:hint="eastAsia" w:ascii="宋体" w:hAnsi="宋体" w:cs="宋?"/>
                      <w:kern w:val="0"/>
                      <w:sz w:val="18"/>
                      <w:szCs w:val="18"/>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火灾事故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季度</w:t>
                  </w:r>
                </w:p>
              </w:tc>
              <w:tc>
                <w:tcPr>
                  <w:tcW w:w="540" w:type="pct"/>
                  <w:noWrap w:val="0"/>
                  <w:vAlign w:val="center"/>
                </w:tcPr>
                <w:p>
                  <w:pPr>
                    <w:tabs>
                      <w:tab w:val="left" w:pos="5824"/>
                    </w:tabs>
                    <w:spacing w:line="360" w:lineRule="auto"/>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环境污染事故率</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540" w:type="pct"/>
                  <w:noWrap w:val="0"/>
                  <w:vAlign w:val="center"/>
                </w:tcPr>
                <w:p>
                  <w:pPr>
                    <w:tabs>
                      <w:tab w:val="left" w:pos="5824"/>
                    </w:tabs>
                    <w:spacing w:line="360" w:lineRule="auto"/>
                    <w:jc w:val="center"/>
                    <w:rPr>
                      <w:rFonts w:hint="eastAsia" w:ascii="宋体" w:hAnsi="宋体" w:cs="宋?"/>
                      <w:kern w:val="0"/>
                      <w:sz w:val="18"/>
                      <w:szCs w:val="18"/>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建筑面积66666.7（100亩）平方米；生产车间2个；库房2个；实验室1个；</w:t>
            </w:r>
            <w:r>
              <w:rPr>
                <w:rFonts w:hint="eastAsia"/>
              </w:rPr>
              <w:t>；</w:t>
            </w:r>
          </w:p>
          <w:p>
            <w:pPr>
              <w:shd w:val="clear" w:color="auto" w:fill="EBF1DE" w:themeFill="accent3" w:themeFillTint="32"/>
              <w:rPr>
                <w:u w:val="single"/>
              </w:rPr>
            </w:pPr>
            <w:r>
              <w:rPr>
                <w:rFonts w:hint="eastAsia"/>
                <w:lang w:eastAsia="zh-CN"/>
              </w:rPr>
              <w:t xml:space="preserve"> 主要生产设备有：PE给水管生产线、钢丝过塑线、PE双臂波纹管生产线、分丝线</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 xml:space="preserve"> 废气经集气罩+光催化+二级活性炭吸附+15m排气筒</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 xml:space="preserve">  无 </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无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叉车：车11新BC00581（21）报告编号：XJTJCJNCS2021000301,检验日期：2021年6月1号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u w:val="single"/>
                <w:lang w:eastAsia="zh-CN"/>
              </w:rPr>
              <w:t>2021年</w:t>
            </w:r>
            <w:r>
              <w:rPr>
                <w:rFonts w:hint="eastAsia"/>
                <w:u w:val="single"/>
                <w:lang w:val="en-US" w:eastAsia="zh-CN"/>
              </w:rPr>
              <w:t>6</w:t>
            </w:r>
            <w:r>
              <w:rPr>
                <w:rFonts w:hint="eastAsia"/>
                <w:u w:val="single"/>
                <w:lang w:eastAsia="zh-CN"/>
              </w:rPr>
              <w:t>月</w:t>
            </w:r>
            <w:r>
              <w:rPr>
                <w:rFonts w:hint="eastAsia"/>
                <w:u w:val="single"/>
                <w:lang w:val="en-US" w:eastAsia="zh-CN"/>
              </w:rPr>
              <w:t>25</w:t>
            </w:r>
            <w:r>
              <w:rPr>
                <w:rFonts w:hint="eastAsia"/>
                <w:u w:val="single"/>
                <w:lang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u w:val="single"/>
                <w:lang w:val="en-US" w:eastAsia="zh-CN"/>
              </w:rPr>
              <w:t>2021年9月11日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pStyle w:val="2"/>
            </w:pPr>
            <w:r>
              <w:rPr>
                <w:rFonts w:hint="eastAsia"/>
              </w:rPr>
              <w:t>《环境监测报告》编号：</w:t>
            </w:r>
            <w:r>
              <w:rPr>
                <w:rFonts w:hint="eastAsia"/>
                <w:color w:val="000000"/>
                <w:szCs w:val="18"/>
                <w:lang w:val="en-US" w:eastAsia="zh-CN"/>
              </w:rPr>
              <w:t>新疆辉腾塑胶有限公司年产2万吨塑料管道生产基地建设项目环境监测：报告编号：HJ2106492,检验时间：2021年6月18日</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2021年6月1</w:t>
            </w:r>
            <w:r>
              <w:rPr>
                <w:rFonts w:hint="eastAsia"/>
                <w:color w:val="000000"/>
                <w:szCs w:val="18"/>
                <w:highlight w:val="none"/>
                <w:u w:val="single"/>
                <w:lang w:val="en-US" w:eastAsia="zh-CN"/>
              </w:rPr>
              <w:t>7</w:t>
            </w:r>
            <w:r>
              <w:rPr>
                <w:rFonts w:hint="eastAsia"/>
                <w:color w:val="000000"/>
                <w:szCs w:val="18"/>
                <w:highlight w:val="none"/>
                <w:u w:val="single"/>
              </w:rPr>
              <w:t>日</w:t>
            </w:r>
            <w:r>
              <w:rPr>
                <w:rFonts w:hint="eastAsia"/>
              </w:rPr>
              <w:t>实施了环境管理体系内部审核，对环境管理体系的符合性和有效性进行了审核。内审发现的</w:t>
            </w:r>
            <w:r>
              <w:rPr>
                <w:rFonts w:hint="eastAsia"/>
                <w:u w:val="single"/>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highlight w:val="none"/>
                <w:u w:val="single"/>
              </w:rPr>
              <w:t>2021年6月</w:t>
            </w:r>
            <w:r>
              <w:rPr>
                <w:rFonts w:hint="eastAsia"/>
                <w:color w:val="000000"/>
                <w:szCs w:val="18"/>
                <w:highlight w:val="none"/>
                <w:u w:val="single"/>
                <w:lang w:val="en-US" w:eastAsia="zh-CN"/>
              </w:rPr>
              <w:t>29</w:t>
            </w:r>
            <w:r>
              <w:rPr>
                <w:rFonts w:hint="eastAsia"/>
                <w:color w:val="000000"/>
                <w:szCs w:val="18"/>
                <w:highlight w:val="none"/>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color w:val="000000"/>
                <w:spacing w:val="-2"/>
                <w:szCs w:val="21"/>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管理体系方针：以人为本、合法经营、优质高效；清洁生产、保护环境、持续发展；遵规守法、珍爱健康、预防危险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b/>
                <w:bCs/>
                <w:sz w:val="21"/>
                <w:szCs w:val="21"/>
                <w:vertAlign w:val="baseline"/>
                <w:lang w:val="en-US" w:eastAsia="zh-CN"/>
              </w:rPr>
              <w:t>王海红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4"/>
              <w:gridCol w:w="285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4"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2851"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4" w:type="dxa"/>
                </w:tcPr>
                <w:p>
                  <w:pPr>
                    <w:rPr>
                      <w:rFonts w:hint="eastAsia" w:ascii="Times New Roman" w:hAnsi="Times New Roman" w:eastAsia="宋体" w:cs="Times New Roman"/>
                    </w:rPr>
                  </w:pPr>
                  <w:r>
                    <w:rPr>
                      <w:rFonts w:hint="eastAsia" w:ascii="Times New Roman" w:hAnsi="Times New Roman" w:eastAsia="宋体" w:cs="Times New Roman"/>
                    </w:rPr>
                    <w:t>公司由总经理负责制，管理人员太多，管理成本高，决策时间长。</w:t>
                  </w:r>
                </w:p>
              </w:tc>
              <w:tc>
                <w:tcPr>
                  <w:tcW w:w="2851" w:type="dxa"/>
                </w:tcPr>
                <w:p>
                  <w:pPr>
                    <w:rPr>
                      <w:rFonts w:hint="eastAsia" w:ascii="Times New Roman" w:hAnsi="Times New Roman" w:eastAsia="宋体" w:cs="Times New Roman"/>
                    </w:rPr>
                  </w:pPr>
                  <w:r>
                    <w:rPr>
                      <w:rFonts w:hint="eastAsia" w:ascii="Times New Roman" w:hAnsi="Times New Roman" w:eastAsia="宋体" w:cs="Times New Roman"/>
                    </w:rPr>
                    <w:t>结构优化</w:t>
                  </w:r>
                </w:p>
              </w:tc>
              <w:tc>
                <w:tcPr>
                  <w:tcW w:w="1717"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4" w:type="dxa"/>
                </w:tcPr>
                <w:p>
                  <w:pPr>
                    <w:rPr>
                      <w:rFonts w:hint="eastAsia" w:ascii="Times New Roman" w:hAnsi="Times New Roman" w:eastAsia="宋体" w:cs="Times New Roman"/>
                    </w:rPr>
                  </w:pPr>
                  <w:r>
                    <w:rPr>
                      <w:rFonts w:hint="eastAsia" w:ascii="Times New Roman" w:hAnsi="Times New Roman" w:eastAsia="宋体" w:cs="Times New Roman"/>
                    </w:rPr>
                    <w:t>本公司购置的设备性能属于行业内领先水准，但需要持续维护。</w:t>
                  </w:r>
                </w:p>
              </w:tc>
              <w:tc>
                <w:tcPr>
                  <w:tcW w:w="2851" w:type="dxa"/>
                </w:tcPr>
                <w:p>
                  <w:pPr>
                    <w:rPr>
                      <w:rFonts w:hint="eastAsia" w:ascii="Times New Roman" w:hAnsi="Times New Roman" w:eastAsia="宋体" w:cs="Times New Roman"/>
                    </w:rPr>
                  </w:pPr>
                  <w:r>
                    <w:rPr>
                      <w:rFonts w:hint="eastAsia" w:ascii="Times New Roman" w:hAnsi="Times New Roman" w:eastAsia="宋体" w:cs="Times New Roman"/>
                    </w:rPr>
                    <w:t>加强维修保养，确保设备的性能和精度长期稳定。</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rFonts w:hint="eastAsia"/>
                <w:color w:val="000000"/>
                <w:szCs w:val="18"/>
                <w:lang w:val="en-US" w:eastAsia="zh-CN"/>
              </w:rPr>
            </w:pPr>
            <w:r>
              <w:rPr>
                <w:rFonts w:hint="eastAsia"/>
              </w:rPr>
              <w:sym w:font="Wingdings 2" w:char="0052"/>
            </w:r>
            <w:r>
              <w:rPr>
                <w:rFonts w:hint="eastAsia"/>
              </w:rPr>
              <w:t>消防验收/备案证明日期：</w:t>
            </w:r>
            <w:r>
              <w:rPr>
                <w:rFonts w:hint="eastAsia"/>
                <w:color w:val="000000"/>
                <w:szCs w:val="18"/>
                <w:lang w:val="en-US" w:eastAsia="zh-CN"/>
              </w:rPr>
              <w:t>昌高建消竣备查字【2020】第0036号，2020年12月21日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pPr w:leftFromText="180" w:rightFromText="180" w:vertAnchor="text" w:horzAnchor="page" w:tblpX="210" w:tblpY="215"/>
              <w:tblOverlap w:val="never"/>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823"/>
              <w:gridCol w:w="3456"/>
              <w:gridCol w:w="11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3"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目 标 值</w:t>
                  </w:r>
                </w:p>
              </w:tc>
              <w:tc>
                <w:tcPr>
                  <w:tcW w:w="49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量化</w:t>
                  </w:r>
                </w:p>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指标</w:t>
                  </w:r>
                </w:p>
              </w:tc>
              <w:tc>
                <w:tcPr>
                  <w:tcW w:w="207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测量方法</w:t>
                  </w:r>
                </w:p>
              </w:tc>
              <w:tc>
                <w:tcPr>
                  <w:tcW w:w="697" w:type="pct"/>
                  <w:noWrap w:val="0"/>
                  <w:vAlign w:val="center"/>
                </w:tcPr>
                <w:p>
                  <w:pPr>
                    <w:keepNext w:val="0"/>
                    <w:keepLines w:val="0"/>
                    <w:suppressLineNumbers w:val="0"/>
                    <w:spacing w:before="0" w:beforeAutospacing="0" w:after="0" w:afterAutospacing="0" w:line="360" w:lineRule="exact"/>
                    <w:ind w:left="0" w:right="0"/>
                    <w:jc w:val="center"/>
                    <w:rPr>
                      <w:rFonts w:hint="default"/>
                      <w:b/>
                      <w:color w:val="auto"/>
                      <w:sz w:val="24"/>
                      <w:lang w:val="en-US" w:eastAsia="zh-CN"/>
                    </w:rPr>
                  </w:pPr>
                  <w:r>
                    <w:rPr>
                      <w:rFonts w:hint="eastAsia"/>
                      <w:b/>
                      <w:color w:val="auto"/>
                      <w:sz w:val="24"/>
                      <w:lang w:val="en-US" w:eastAsia="zh-CN"/>
                    </w:rPr>
                    <w:t>频次</w:t>
                  </w:r>
                </w:p>
              </w:tc>
              <w:tc>
                <w:tcPr>
                  <w:tcW w:w="540" w:type="pct"/>
                  <w:noWrap w:val="0"/>
                  <w:vAlign w:val="center"/>
                </w:tcPr>
                <w:p>
                  <w:pPr>
                    <w:keepNext w:val="0"/>
                    <w:keepLines w:val="0"/>
                    <w:suppressLineNumbers w:val="0"/>
                    <w:spacing w:before="0" w:beforeAutospacing="0" w:after="0" w:afterAutospacing="0" w:line="360" w:lineRule="exact"/>
                    <w:ind w:left="0" w:right="0"/>
                    <w:jc w:val="center"/>
                    <w:rPr>
                      <w:rFonts w:hint="default" w:eastAsia="宋体"/>
                      <w:b/>
                      <w:color w:val="auto"/>
                      <w:sz w:val="24"/>
                      <w:lang w:val="en-US" w:eastAsia="zh-CN"/>
                    </w:rPr>
                  </w:pPr>
                  <w:r>
                    <w:rPr>
                      <w:rFonts w:hint="eastAsia"/>
                      <w:b/>
                      <w:color w:val="auto"/>
                      <w:sz w:val="24"/>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火灾事故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季度</w:t>
                  </w:r>
                </w:p>
              </w:tc>
              <w:tc>
                <w:tcPr>
                  <w:tcW w:w="540" w:type="pct"/>
                  <w:noWrap w:val="0"/>
                  <w:vAlign w:val="center"/>
                </w:tcPr>
                <w:p>
                  <w:pPr>
                    <w:tabs>
                      <w:tab w:val="left" w:pos="5824"/>
                    </w:tabs>
                    <w:spacing w:line="360" w:lineRule="auto"/>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540" w:type="pct"/>
                  <w:noWrap w:val="0"/>
                  <w:vAlign w:val="center"/>
                </w:tcPr>
                <w:p>
                  <w:pPr>
                    <w:jc w:val="center"/>
                    <w:rPr>
                      <w:rFonts w:hint="eastAsia" w:ascii="宋体" w:hAnsi="宋体" w:cs="宋?"/>
                      <w:kern w:val="0"/>
                      <w:sz w:val="18"/>
                      <w:szCs w:val="18"/>
                    </w:rPr>
                  </w:pPr>
                  <w:r>
                    <w:rPr>
                      <w:rFonts w:hint="eastAsia"/>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重大伤亡事故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sz w:val="18"/>
                      <w:szCs w:val="18"/>
                    </w:rPr>
                  </w:pPr>
                  <w:r>
                    <w:rPr>
                      <w:rFonts w:hint="eastAsia" w:ascii="宋体" w:hAnsi="宋体"/>
                      <w:sz w:val="18"/>
                      <w:szCs w:val="18"/>
                    </w:rPr>
                    <w:t>发生总数</w:t>
                  </w:r>
                </w:p>
              </w:tc>
              <w:tc>
                <w:tcPr>
                  <w:tcW w:w="697" w:type="pct"/>
                  <w:noWrap w:val="0"/>
                  <w:vAlign w:val="top"/>
                </w:tcPr>
                <w:p>
                  <w:pPr>
                    <w:tabs>
                      <w:tab w:val="left" w:pos="5824"/>
                    </w:tabs>
                    <w:spacing w:line="360" w:lineRule="auto"/>
                    <w:jc w:val="center"/>
                    <w:rPr>
                      <w:rFonts w:hint="eastAsia" w:ascii="宋体" w:hAnsi="宋体" w:cs="宋体"/>
                      <w:bCs/>
                      <w:sz w:val="18"/>
                      <w:szCs w:val="18"/>
                    </w:rPr>
                  </w:pPr>
                  <w:r>
                    <w:rPr>
                      <w:rFonts w:hint="eastAsia"/>
                    </w:rPr>
                    <w:t>年度</w:t>
                  </w:r>
                </w:p>
              </w:tc>
              <w:tc>
                <w:tcPr>
                  <w:tcW w:w="540" w:type="pct"/>
                  <w:noWrap w:val="0"/>
                  <w:vAlign w:val="center"/>
                </w:tcPr>
                <w:p>
                  <w:pPr>
                    <w:jc w:val="center"/>
                    <w:rPr>
                      <w:rFonts w:hint="eastAsia" w:ascii="宋体" w:hAnsi="宋体" w:cs="宋?"/>
                      <w:kern w:val="0"/>
                      <w:sz w:val="18"/>
                      <w:szCs w:val="18"/>
                    </w:rPr>
                  </w:pPr>
                  <w:r>
                    <w:rPr>
                      <w:rFonts w:hint="eastAsia"/>
                    </w:rPr>
                    <w:t>无发生</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建筑面积66666.7（100亩）平方米；生产车间2个；库房2个；实验室1个；</w:t>
            </w:r>
            <w:r>
              <w:rPr>
                <w:rFonts w:hint="eastAsia"/>
              </w:rPr>
              <w:t>；</w:t>
            </w:r>
          </w:p>
          <w:p>
            <w:pPr>
              <w:rPr>
                <w:u w:val="single"/>
              </w:rPr>
            </w:pPr>
            <w:r>
              <w:rPr>
                <w:rFonts w:hint="eastAsia"/>
                <w:lang w:eastAsia="zh-CN"/>
              </w:rPr>
              <w:t xml:space="preserve"> 主要生产设备有：PE给水管生产线、钢丝过塑线、PE双臂波纹管生产线、分丝线</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   </w:t>
            </w:r>
            <w:r>
              <w:rPr>
                <w:rFonts w:hint="eastAsia"/>
                <w:u w:val="single"/>
              </w:rPr>
              <w:t>（</w:t>
            </w:r>
            <w:r>
              <w:rPr>
                <w:rFonts w:hint="eastAsia"/>
                <w:u w:val="single"/>
                <w:lang w:val="en-US" w:eastAsia="zh-CN"/>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rPr>
                    <w:t>管理方案、运行控制、应急预案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叉车：车11新BC00581（21）报告编号：XJTJCJNCS2021000301,检验日期：2021年6月1号</w:t>
            </w:r>
            <w:r>
              <w:rPr>
                <w:rFonts w:hint="eastAsia"/>
                <w:u w:val="single"/>
              </w:rPr>
              <w:t>（</w:t>
            </w:r>
            <w:r>
              <w:rPr>
                <w:rFonts w:hint="eastAsia"/>
                <w:u w:val="single"/>
                <w:lang w:val="en-US" w:eastAsia="zh-CN"/>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default" w:eastAsia="宋体"/>
                <w:lang w:val="en-US" w:eastAsia="zh-CN"/>
              </w:rPr>
            </w:pPr>
            <w:r>
              <w:rPr>
                <w:rFonts w:hint="eastAsia"/>
              </w:rPr>
              <w:t>已发生的更改包括：</w:t>
            </w:r>
            <w:r>
              <w:rPr>
                <w:rFonts w:hint="eastAsia"/>
                <w:lang w:val="en-US" w:eastAsia="zh-CN"/>
              </w:rPr>
              <w:t xml:space="preserve">   无</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u w:val="single"/>
                <w:lang w:eastAsia="zh-CN"/>
              </w:rPr>
              <w:t>2021年</w:t>
            </w:r>
            <w:r>
              <w:rPr>
                <w:rFonts w:hint="eastAsia"/>
                <w:u w:val="single"/>
                <w:lang w:val="en-US" w:eastAsia="zh-CN"/>
              </w:rPr>
              <w:t>6</w:t>
            </w:r>
            <w:r>
              <w:rPr>
                <w:rFonts w:hint="eastAsia"/>
                <w:u w:val="single"/>
                <w:lang w:eastAsia="zh-CN"/>
              </w:rPr>
              <w:t>月</w:t>
            </w:r>
            <w:r>
              <w:rPr>
                <w:rFonts w:hint="eastAsia"/>
                <w:u w:val="single"/>
                <w:lang w:val="en-US" w:eastAsia="zh-CN"/>
              </w:rPr>
              <w:t>25</w:t>
            </w:r>
            <w:r>
              <w:rPr>
                <w:rFonts w:hint="eastAsia"/>
                <w:u w:val="single"/>
                <w:lang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u w:val="single"/>
                <w:lang w:val="en-US" w:eastAsia="zh-CN"/>
              </w:rPr>
              <w:t>2021年9月11日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rPr>
              <w:t>2021年6月1</w:t>
            </w:r>
            <w:r>
              <w:rPr>
                <w:rFonts w:hint="eastAsia"/>
                <w:color w:val="000000"/>
                <w:szCs w:val="18"/>
                <w:highlight w:val="none"/>
                <w:u w:val="single"/>
                <w:lang w:val="en-US" w:eastAsia="zh-CN"/>
              </w:rPr>
              <w:t>7</w:t>
            </w:r>
            <w:r>
              <w:rPr>
                <w:rFonts w:hint="eastAsia"/>
                <w:color w:val="000000"/>
                <w:szCs w:val="18"/>
                <w:highlight w:val="none"/>
                <w:u w:val="single"/>
              </w:rPr>
              <w:t>日</w:t>
            </w:r>
            <w:r>
              <w:rPr>
                <w:rFonts w:hint="eastAsia"/>
              </w:rPr>
              <w:t>实施了职业健康安全管理体系内部审核，对职业健康安全管理体系的符合性和有效性进行了审核。内审发现的</w:t>
            </w:r>
            <w:r>
              <w:rPr>
                <w:rFonts w:hint="eastAsia"/>
                <w:u w:val="single"/>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highlight w:val="none"/>
                <w:u w:val="single"/>
                <w:lang w:val="en-US" w:eastAsia="zh-CN"/>
              </w:rPr>
              <w:t>2021</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6</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rFonts w:hint="eastAsia"/>
                <w:color w:val="000000"/>
                <w:szCs w:val="18"/>
                <w:highlight w:val="none"/>
                <w:u w:val="single"/>
                <w:lang w:val="en-US" w:eastAsia="zh-CN"/>
              </w:rPr>
              <w:t>29</w:t>
            </w:r>
            <w:r>
              <w:rPr>
                <w:color w:val="000000"/>
                <w:szCs w:val="18"/>
                <w:highlight w:val="none"/>
                <w:u w:val="single"/>
              </w:rPr>
              <w:t xml:space="preserve"> </w:t>
            </w:r>
            <w:r>
              <w:rPr>
                <w:rFonts w:hint="eastAsia"/>
                <w:color w:val="000000"/>
                <w:szCs w:val="18"/>
                <w:highlight w:val="non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
    <w:altName w:val="Times New Roman"/>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方正北魏楷书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DB7DC8"/>
    <w:rsid w:val="4E1B6802"/>
    <w:rsid w:val="55562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line="420" w:lineRule="exact"/>
    </w:pPr>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2021-12-03T02:48:09Z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