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中建城开环境建设有限公司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EnM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4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5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管理层应更多关注内审的有效性.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b/>
                <w:bCs/>
                <w:lang w:val="en-US" w:eastAsia="zh-CN"/>
              </w:rPr>
              <w:t>注重工程施工资料收集的及时性</w:t>
            </w:r>
            <w:bookmarkStart w:id="11" w:name="_GoBack"/>
            <w:bookmarkEnd w:id="11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CD0E2C"/>
    <w:rsid w:val="78D463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2021-11-30T15:00:38Z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2052-11.1.0.11115</vt:lpwstr>
  </property>
</Properties>
</file>