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0251-2018-QJEO-2021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中建城开环境建设有限公司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中建城开环境建设有限公司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江西省南昌市南昌县河州路398号中建城开大厦</w:t>
            </w:r>
            <w:bookmarkEnd w:id="5"/>
          </w:p>
        </w:tc>
        <w:tc>
          <w:tcPr>
            <w:tcW w:w="1242" w:type="dxa"/>
            <w:vMerge w:val="restart"/>
            <w:vAlign w:val="center"/>
          </w:tcPr>
          <w:p>
            <w:r>
              <w:rPr>
                <w:rFonts w:hint="eastAsia"/>
              </w:rPr>
              <w:t>邮编</w:t>
            </w:r>
          </w:p>
        </w:tc>
        <w:tc>
          <w:tcPr>
            <w:tcW w:w="1771" w:type="dxa"/>
          </w:tcPr>
          <w:p>
            <w:bookmarkStart w:id="6" w:name="注册邮编"/>
            <w:r>
              <w:t>330000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江西省南昌市南昌县河州路398号中建城开大厦</w:t>
            </w:r>
            <w:bookmarkEnd w:id="7"/>
          </w:p>
        </w:tc>
        <w:tc>
          <w:tcPr>
            <w:tcW w:w="1242" w:type="dxa"/>
            <w:vMerge w:val="continue"/>
            <w:vAlign w:val="center"/>
          </w:tcPr>
          <w:p/>
        </w:tc>
        <w:tc>
          <w:tcPr>
            <w:tcW w:w="1771" w:type="dxa"/>
          </w:tcPr>
          <w:p>
            <w:bookmarkStart w:id="8" w:name="办公邮编"/>
            <w:r>
              <w:t>330000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聂淑娟</w:t>
            </w:r>
            <w:bookmarkEnd w:id="9"/>
          </w:p>
        </w:tc>
        <w:tc>
          <w:tcPr>
            <w:tcW w:w="1313" w:type="dxa"/>
            <w:vAlign w:val="center"/>
          </w:tcPr>
          <w:p>
            <w:r>
              <w:rPr>
                <w:rFonts w:hint="eastAsia"/>
              </w:rPr>
              <w:t>电话.</w:t>
            </w:r>
          </w:p>
        </w:tc>
        <w:tc>
          <w:tcPr>
            <w:tcW w:w="2180" w:type="dxa"/>
            <w:vAlign w:val="center"/>
          </w:tcPr>
          <w:p>
            <w:bookmarkStart w:id="10" w:name="联系人电话"/>
            <w:r>
              <w:t>0791-83885094</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朱生福</w:t>
            </w:r>
            <w:bookmarkEnd w:id="12"/>
          </w:p>
        </w:tc>
        <w:tc>
          <w:tcPr>
            <w:tcW w:w="1313" w:type="dxa"/>
            <w:vAlign w:val="center"/>
          </w:tcPr>
          <w:p>
            <w:r>
              <w:rPr>
                <w:rFonts w:hint="eastAsia"/>
              </w:rPr>
              <w:t>管理者代表</w:t>
            </w:r>
          </w:p>
        </w:tc>
        <w:tc>
          <w:tcPr>
            <w:tcW w:w="2180" w:type="dxa"/>
          </w:tcPr>
          <w:p>
            <w:bookmarkStart w:id="13" w:name="管理者代表"/>
            <w:r>
              <w:t>周美演</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rPr>
            </w:pPr>
            <w:r>
              <w:rPr>
                <w:rFonts w:hint="eastAsia"/>
                <w:color w:val="auto"/>
              </w:rPr>
              <w:t>生产/服务提供流程简图</w:t>
            </w:r>
          </w:p>
          <w:p/>
          <w:p/>
        </w:tc>
        <w:tc>
          <w:tcPr>
            <w:tcW w:w="8058" w:type="dxa"/>
            <w:gridSpan w:val="5"/>
            <w:shd w:val="clear" w:color="auto" w:fill="auto"/>
          </w:tcPr>
          <w:p>
            <w:pPr>
              <w:pStyle w:val="3"/>
              <w:keepNext w:val="0"/>
              <w:keepLines w:val="0"/>
              <w:pageBreakBefore w:val="0"/>
              <w:widowControl w:val="0"/>
              <w:numPr>
                <w:ilvl w:val="0"/>
                <w:numId w:val="0"/>
              </w:numPr>
              <w:kinsoku/>
              <w:wordWrap/>
              <w:overflowPunct/>
              <w:topLinePunct w:val="0"/>
              <w:autoSpaceDE/>
              <w:autoSpaceDN/>
              <w:bidi w:val="0"/>
              <w:adjustRightInd/>
              <w:spacing w:line="240" w:lineRule="exact"/>
              <w:rPr>
                <w:rFonts w:hint="eastAsia" w:hAnsi="宋体"/>
                <w:b w:val="0"/>
                <w:bCs w:val="0"/>
                <w:sz w:val="21"/>
                <w:szCs w:val="21"/>
              </w:rPr>
            </w:pPr>
            <w:r>
              <w:rPr>
                <w:rFonts w:hint="eastAsia" w:hAnsi="宋体"/>
                <w:b w:val="0"/>
                <w:bCs w:val="0"/>
                <w:sz w:val="21"/>
                <w:szCs w:val="21"/>
                <w:lang w:val="en-US" w:eastAsia="zh-CN"/>
              </w:rPr>
              <w:t>1、</w:t>
            </w:r>
            <w:r>
              <w:rPr>
                <w:rFonts w:hint="eastAsia" w:hAnsi="宋体"/>
                <w:b w:val="0"/>
                <w:bCs w:val="0"/>
                <w:sz w:val="21"/>
                <w:szCs w:val="21"/>
              </w:rPr>
              <w:t>房屋建筑：场地平整---定位放线---基础土方---基础垫层---基础钢筋---基础模板---基础砼---基础回填---主体钢筋---主体模板---主体砼---屋面施工---内外墙砌筑-----分部工程验收---单位工程竣工验收---单位工程合格交付。</w:t>
            </w:r>
          </w:p>
          <w:p>
            <w:pPr>
              <w:pStyle w:val="3"/>
              <w:keepNext w:val="0"/>
              <w:keepLines w:val="0"/>
              <w:pageBreakBefore w:val="0"/>
              <w:widowControl w:val="0"/>
              <w:numPr>
                <w:ilvl w:val="0"/>
                <w:numId w:val="0"/>
              </w:numPr>
              <w:kinsoku/>
              <w:wordWrap/>
              <w:overflowPunct/>
              <w:topLinePunct w:val="0"/>
              <w:autoSpaceDE/>
              <w:autoSpaceDN/>
              <w:bidi w:val="0"/>
              <w:adjustRightInd/>
              <w:spacing w:line="240" w:lineRule="exact"/>
              <w:rPr>
                <w:rFonts w:hint="eastAsia"/>
                <w:b w:val="0"/>
                <w:bCs w:val="0"/>
                <w:sz w:val="21"/>
                <w:szCs w:val="21"/>
              </w:rPr>
            </w:pPr>
            <w:r>
              <w:rPr>
                <w:rFonts w:hint="eastAsia" w:hAnsi="宋体"/>
                <w:b w:val="0"/>
                <w:bCs w:val="0"/>
                <w:sz w:val="21"/>
                <w:szCs w:val="21"/>
                <w:lang w:val="en-US" w:eastAsia="zh-CN"/>
              </w:rPr>
              <w:t>2、</w:t>
            </w:r>
            <w:r>
              <w:rPr>
                <w:rFonts w:hint="eastAsia"/>
                <w:b w:val="0"/>
                <w:bCs w:val="0"/>
                <w:sz w:val="21"/>
                <w:szCs w:val="21"/>
              </w:rPr>
              <w:t>市政公用工程流程：签订合同—组建项目部—编制施工组织设计—组织施工—过程检验—分部分项验收—竣工验收—交付及交付后的活动。</w:t>
            </w:r>
          </w:p>
          <w:p>
            <w:pPr>
              <w:keepNext w:val="0"/>
              <w:keepLines w:val="0"/>
              <w:pageBreakBefore w:val="0"/>
              <w:widowControl w:val="0"/>
              <w:kinsoku/>
              <w:wordWrap/>
              <w:overflowPunct/>
              <w:topLinePunct w:val="0"/>
              <w:autoSpaceDE/>
              <w:autoSpaceDN/>
              <w:bidi w:val="0"/>
              <w:adjustRightInd/>
              <w:snapToGrid w:val="0"/>
              <w:spacing w:line="2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3、公路工程：</w:t>
            </w:r>
            <w:r>
              <w:rPr>
                <w:rFonts w:hint="eastAsia" w:asciiTheme="minorEastAsia" w:hAnsiTheme="minorEastAsia" w:eastAsiaTheme="minorEastAsia" w:cstheme="minorEastAsia"/>
                <w:b w:val="0"/>
                <w:bCs w:val="0"/>
                <w:sz w:val="21"/>
                <w:szCs w:val="21"/>
              </w:rPr>
              <w:t>测量放线</w:t>
            </w:r>
            <w:r>
              <w:rPr>
                <w:rFonts w:hint="eastAsia" w:asciiTheme="minorEastAsia" w:hAnsiTheme="minorEastAsia" w:eastAsiaTheme="minorEastAsia" w:cstheme="minorEastAsia"/>
                <w:b w:val="0"/>
                <w:bCs w:val="0"/>
                <w:sz w:val="21"/>
                <w:szCs w:val="21"/>
                <w:lang w:val="en-US" w:eastAsia="zh-CN"/>
              </w:rPr>
              <w:t>--土方开挖、回填--清淤--砂石垫层--砼预制块护坡--沥青填缝--竣工交验。</w:t>
            </w:r>
          </w:p>
          <w:p>
            <w:r>
              <w:rPr>
                <w:rFonts w:hint="eastAsia" w:asciiTheme="minorEastAsia" w:hAnsiTheme="minorEastAsia" w:eastAsiaTheme="minorEastAsia" w:cstheme="minorEastAsia"/>
                <w:b w:val="0"/>
                <w:bCs w:val="0"/>
                <w:sz w:val="21"/>
                <w:szCs w:val="21"/>
                <w:lang w:val="en-US" w:eastAsia="zh-CN"/>
              </w:rPr>
              <w:t>4、</w:t>
            </w:r>
            <w:r>
              <w:rPr>
                <w:rFonts w:hint="eastAsia"/>
                <w:b w:val="0"/>
                <w:bCs w:val="0"/>
                <w:sz w:val="21"/>
                <w:szCs w:val="21"/>
              </w:rPr>
              <w:t>水利水电工程工艺流程：签订合同—组建项目部—编制施工组织设计—组织施工—过程检验—分部分项验收—竣工验收—交付及交付后的活动。</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121"/>
        <w:gridCol w:w="3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2021年11月12日 上午至2021年11月17日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首次会议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4863" w:type="dxa"/>
            <w:gridSpan w:val="3"/>
            <w:vMerge w:val="restart"/>
            <w:vAlign w:val="center"/>
          </w:tcPr>
          <w:p>
            <w:bookmarkStart w:id="26" w:name="审核范围"/>
            <w:r>
              <w:t>EC：资质等级范围内的房屋建筑工程、市政公用工程、水利水电工程、公路工程的施工</w:t>
            </w:r>
          </w:p>
          <w:p>
            <w:r>
              <w:t>E：资质等级范围内的房屋建筑工程、市政公用工程、水利水电工程、公路工程的施工及所涉及的相关环境管理活动</w:t>
            </w:r>
          </w:p>
          <w:p>
            <w:r>
              <w:t>O：资质等级范围内的房屋建筑工程、市政公用工程、水利水电工程、公路工程的施工及所涉及的相关管理活动</w:t>
            </w:r>
            <w:bookmarkEnd w:id="26"/>
          </w:p>
        </w:tc>
        <w:tc>
          <w:tcPr>
            <w:tcW w:w="397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4863" w:type="dxa"/>
            <w:gridSpan w:val="3"/>
            <w:vMerge w:val="continue"/>
            <w:vAlign w:val="center"/>
          </w:tcPr>
          <w:p/>
        </w:tc>
        <w:tc>
          <w:tcPr>
            <w:tcW w:w="3977" w:type="dxa"/>
            <w:vAlign w:val="center"/>
          </w:tcPr>
          <w:p>
            <w:bookmarkStart w:id="27" w:name="专业代码"/>
            <w:r>
              <w:t>EC：28.02.00;28.03.01;28.04.01;</w:t>
            </w:r>
          </w:p>
          <w:p>
            <w:r>
              <w:t>28.04.02;28.05.01</w:t>
            </w:r>
          </w:p>
          <w:p>
            <w:r>
              <w:t>E：28.02.00;28.03.01;28.04.01;</w:t>
            </w:r>
          </w:p>
          <w:p>
            <w:r>
              <w:t>28.04.02;28.05.01</w:t>
            </w:r>
          </w:p>
          <w:p>
            <w:r>
              <w:t>O：28.02.00;28.03.01;28.04.01;</w:t>
            </w:r>
          </w:p>
          <w:p>
            <w:r>
              <w:t>28.04.02;28.05.01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Q8.3EC10.3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121" w:type="dxa"/>
            <w:vAlign w:val="center"/>
          </w:tcPr>
          <w:p>
            <w:r>
              <w:rPr>
                <w:rFonts w:hint="eastAsia"/>
              </w:rPr>
              <w:t>管理体系运行已超过3个月</w:t>
            </w:r>
          </w:p>
        </w:tc>
        <w:tc>
          <w:tcPr>
            <w:tcW w:w="3977"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auto"/>
                <w:lang w:val="en-US" w:eastAsia="zh-CN"/>
              </w:rPr>
              <w:t>2020</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21-24</w:t>
            </w:r>
            <w:r>
              <w:rPr>
                <w:rFonts w:hint="eastAsia"/>
                <w:color w:val="auto"/>
              </w:rPr>
              <w:t>日</w:t>
            </w:r>
          </w:p>
        </w:tc>
        <w:tc>
          <w:tcPr>
            <w:tcW w:w="1121" w:type="dxa"/>
            <w:vAlign w:val="center"/>
          </w:tcPr>
          <w:p>
            <w:r>
              <w:rPr>
                <w:rFonts w:hint="eastAsia"/>
              </w:rPr>
              <w:t>认证证书有效期</w:t>
            </w:r>
          </w:p>
          <w:p>
            <w:r>
              <w:rPr>
                <w:rFonts w:hint="eastAsia"/>
              </w:rPr>
              <w:t>（初审除外）</w:t>
            </w:r>
          </w:p>
        </w:tc>
        <w:tc>
          <w:tcPr>
            <w:tcW w:w="3977" w:type="dxa"/>
            <w:vAlign w:val="center"/>
          </w:tcPr>
          <w:p>
            <w:r>
              <w:rPr>
                <w:rFonts w:hint="eastAsia"/>
              </w:rPr>
              <w:t>有效至</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88"/>
        <w:gridCol w:w="2267"/>
        <w:gridCol w:w="571"/>
        <w:gridCol w:w="2155"/>
        <w:gridCol w:w="131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26" w:type="dxa"/>
            <w:shd w:val="clear" w:color="auto" w:fill="F3F3F3"/>
            <w:tcMar>
              <w:left w:w="57" w:type="dxa"/>
              <w:right w:w="57" w:type="dxa"/>
            </w:tcMar>
          </w:tcPr>
          <w:p>
            <w:r>
              <w:rPr>
                <w:rFonts w:hint="eastAsia"/>
              </w:rPr>
              <w:t>场所编号</w:t>
            </w:r>
          </w:p>
          <w:p>
            <w:r>
              <w:rPr>
                <w:rFonts w:hint="eastAsia"/>
              </w:rPr>
              <w:t>(分证书序号）</w:t>
            </w:r>
          </w:p>
        </w:tc>
        <w:tc>
          <w:tcPr>
            <w:tcW w:w="1988"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55" w:type="dxa"/>
            <w:shd w:val="clear" w:color="auto" w:fill="F3F3F3"/>
            <w:tcMar>
              <w:left w:w="57" w:type="dxa"/>
              <w:right w:w="57" w:type="dxa"/>
            </w:tcMar>
          </w:tcPr>
          <w:p>
            <w:r>
              <w:rPr>
                <w:rFonts w:hint="eastAsia"/>
              </w:rPr>
              <w:t>审核范围（产品和过程）</w:t>
            </w:r>
          </w:p>
          <w:p/>
          <w:p/>
        </w:tc>
        <w:tc>
          <w:tcPr>
            <w:tcW w:w="131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26" w:type="dxa"/>
            <w:vAlign w:val="center"/>
          </w:tcPr>
          <w:p>
            <w:pPr>
              <w:rPr>
                <w:lang w:eastAsia="ja-JP"/>
              </w:rPr>
            </w:pPr>
            <w:r>
              <w:rPr>
                <w:rFonts w:hint="eastAsia"/>
                <w:lang w:eastAsia="ja-JP"/>
              </w:rPr>
              <w:t>01</w:t>
            </w:r>
          </w:p>
        </w:tc>
        <w:tc>
          <w:tcPr>
            <w:tcW w:w="1988" w:type="dxa"/>
          </w:tcPr>
          <w:p>
            <w:pPr>
              <w:rPr>
                <w:lang w:val="de-DE" w:eastAsia="ja-JP"/>
              </w:rPr>
            </w:pPr>
            <w:r>
              <w:t>江西省南昌市南昌县河州路398号中建城开大厦</w:t>
            </w:r>
          </w:p>
        </w:tc>
        <w:tc>
          <w:tcPr>
            <w:tcW w:w="2267" w:type="dxa"/>
          </w:tcPr>
          <w:p>
            <w:pPr>
              <w:rPr>
                <w:lang w:val="de-DE" w:eastAsia="ja-JP"/>
              </w:rPr>
            </w:pPr>
            <w:r>
              <w:t>江西省南昌市南昌县河州路398号中建城开大厦</w:t>
            </w:r>
          </w:p>
        </w:tc>
        <w:tc>
          <w:tcPr>
            <w:tcW w:w="571" w:type="dxa"/>
            <w:vAlign w:val="center"/>
          </w:tcPr>
          <w:p>
            <w:pPr>
              <w:rPr>
                <w:rFonts w:hint="default" w:eastAsia="宋体"/>
                <w:lang w:val="en-US" w:eastAsia="zh-CN"/>
              </w:rPr>
            </w:pPr>
            <w:r>
              <w:rPr>
                <w:rFonts w:hint="eastAsia"/>
                <w:lang w:val="en-US" w:eastAsia="zh-CN"/>
              </w:rPr>
              <w:t>270</w:t>
            </w:r>
          </w:p>
        </w:tc>
        <w:tc>
          <w:tcPr>
            <w:tcW w:w="2155" w:type="dxa"/>
            <w:vAlign w:val="center"/>
          </w:tcPr>
          <w:p>
            <w:r>
              <w:t>EC：资质等级范围内的房屋建筑工程、市政公用工程、水利水电工程、公路工程的施工</w:t>
            </w:r>
          </w:p>
          <w:p>
            <w:r>
              <w:t>E：资质等级范围内的房屋建筑工程、市政公用工程、水利水电工程、公路工程的施工及所涉及的相关环境管理活动</w:t>
            </w:r>
          </w:p>
          <w:p>
            <w:pPr>
              <w:rPr>
                <w:lang w:eastAsia="ja-JP"/>
              </w:rPr>
            </w:pPr>
            <w:r>
              <w:t>O：资质等级范围内的房屋建筑工程、市政公用工程、水利水电工程、公路工程的施工及所涉及的相关管理活动</w:t>
            </w:r>
          </w:p>
        </w:tc>
        <w:tc>
          <w:tcPr>
            <w:tcW w:w="1317" w:type="dxa"/>
            <w:vAlign w:val="cente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6" w:type="dxa"/>
            <w:vAlign w:val="center"/>
          </w:tcPr>
          <w:p>
            <w:pPr>
              <w:rPr>
                <w:lang w:eastAsia="ja-JP"/>
              </w:rPr>
            </w:pPr>
            <w:r>
              <w:rPr>
                <w:rFonts w:hint="eastAsia"/>
                <w:lang w:eastAsia="ja-JP"/>
              </w:rPr>
              <w:t>02</w:t>
            </w:r>
          </w:p>
        </w:tc>
        <w:tc>
          <w:tcPr>
            <w:tcW w:w="1988" w:type="dxa"/>
            <w:vAlign w:val="center"/>
          </w:tcPr>
          <w:p>
            <w:pPr>
              <w:rPr>
                <w:rFonts w:hint="eastAsia" w:eastAsia="宋体"/>
                <w:lang w:val="en-US" w:eastAsia="zh-CN"/>
              </w:rPr>
            </w:pPr>
            <w:r>
              <w:rPr>
                <w:rFonts w:hint="eastAsia" w:ascii="宋体" w:hAnsi="宋体" w:cs="仿宋_GB2312"/>
                <w:szCs w:val="21"/>
              </w:rPr>
              <w:t>江回路改造工程（锦江大道）</w:t>
            </w:r>
          </w:p>
        </w:tc>
        <w:tc>
          <w:tcPr>
            <w:tcW w:w="2267" w:type="dxa"/>
            <w:vAlign w:val="center"/>
          </w:tcPr>
          <w:p>
            <w:pPr>
              <w:rPr>
                <w:lang w:eastAsia="ja-JP"/>
              </w:rPr>
            </w:pPr>
            <w:r>
              <w:rPr>
                <w:rFonts w:hint="eastAsia" w:ascii="宋体" w:hAnsi="宋体" w:cs="仿宋_GB2312"/>
                <w:szCs w:val="21"/>
                <w:lang w:eastAsia="zh-CN"/>
              </w:rPr>
              <w:t>四川省眉山市</w:t>
            </w:r>
            <w:r>
              <w:rPr>
                <w:rFonts w:hint="eastAsia" w:ascii="宋体" w:hAnsi="宋体" w:cs="仿宋_GB2312"/>
                <w:szCs w:val="21"/>
              </w:rPr>
              <w:t>江回路（锦江大道）</w:t>
            </w:r>
            <w:r>
              <w:rPr>
                <w:rFonts w:hint="eastAsia" w:ascii="宋体" w:hAnsi="宋体" w:cs="仿宋_GB2312"/>
                <w:szCs w:val="21"/>
                <w:lang w:val="en-US" w:eastAsia="zh-CN"/>
              </w:rPr>
              <w:t>半边街18号</w:t>
            </w:r>
          </w:p>
        </w:tc>
        <w:tc>
          <w:tcPr>
            <w:tcW w:w="571" w:type="dxa"/>
            <w:vAlign w:val="center"/>
          </w:tcPr>
          <w:p>
            <w:pPr>
              <w:rPr>
                <w:rFonts w:hint="default" w:eastAsia="宋体"/>
                <w:lang w:val="en-US" w:eastAsia="zh-CN"/>
              </w:rPr>
            </w:pPr>
            <w:r>
              <w:rPr>
                <w:rFonts w:hint="eastAsia"/>
                <w:lang w:val="en-US" w:eastAsia="zh-CN"/>
              </w:rPr>
              <w:t>126人</w:t>
            </w:r>
          </w:p>
        </w:tc>
        <w:tc>
          <w:tcPr>
            <w:tcW w:w="2155" w:type="dxa"/>
            <w:vAlign w:val="center"/>
          </w:tcPr>
          <w:p>
            <w:r>
              <w:t>EC：资质等级范围内的市政公用工程、公路工程的施工</w:t>
            </w:r>
          </w:p>
          <w:p>
            <w:r>
              <w:t>E：资质等级范围内的市政公用工程、公路工程的施工及所涉及的相关环境管理活动</w:t>
            </w:r>
          </w:p>
          <w:p>
            <w:pPr>
              <w:rPr>
                <w:lang w:eastAsia="ja-JP"/>
              </w:rPr>
            </w:pPr>
            <w:r>
              <w:t>O：资质等级范围内的市政公用工程、公路工程的施工施工及所涉及的相关管理活动</w:t>
            </w:r>
          </w:p>
        </w:tc>
        <w:tc>
          <w:tcPr>
            <w:tcW w:w="1317" w:type="dxa"/>
            <w:vAlign w:val="center"/>
          </w:tcPr>
          <w:p>
            <w:pPr>
              <w:rPr>
                <w:rFonts w:hint="eastAsia" w:eastAsia="宋体"/>
                <w:lang w:val="en-US" w:eastAsia="zh-CN"/>
              </w:rPr>
            </w:pPr>
            <w:r>
              <w:rPr>
                <w:rFonts w:hint="eastAsia"/>
                <w:lang w:val="en-US" w:eastAsia="zh-CN"/>
              </w:rPr>
              <w:t>同上</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6" w:type="dxa"/>
            <w:vAlign w:val="center"/>
          </w:tcPr>
          <w:p>
            <w:pPr>
              <w:rPr>
                <w:lang w:eastAsia="ja-JP"/>
              </w:rPr>
            </w:pPr>
            <w:r>
              <w:rPr>
                <w:rFonts w:hint="eastAsia"/>
                <w:lang w:eastAsia="ja-JP"/>
              </w:rPr>
              <w:t>03</w:t>
            </w:r>
          </w:p>
        </w:tc>
        <w:tc>
          <w:tcPr>
            <w:tcW w:w="1988"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5" w:type="dxa"/>
            <w:vAlign w:val="center"/>
          </w:tcPr>
          <w:p>
            <w:pPr>
              <w:rPr>
                <w:lang w:eastAsia="ja-JP"/>
              </w:rPr>
            </w:pPr>
          </w:p>
        </w:tc>
        <w:tc>
          <w:tcPr>
            <w:tcW w:w="131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6" w:type="dxa"/>
            <w:vAlign w:val="center"/>
          </w:tcPr>
          <w:p>
            <w:pPr>
              <w:rPr>
                <w:lang w:eastAsia="ja-JP"/>
              </w:rPr>
            </w:pPr>
            <w:r>
              <w:rPr>
                <w:rFonts w:hint="eastAsia"/>
                <w:lang w:eastAsia="ja-JP"/>
              </w:rPr>
              <w:t>04</w:t>
            </w:r>
          </w:p>
        </w:tc>
        <w:tc>
          <w:tcPr>
            <w:tcW w:w="1988"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5" w:type="dxa"/>
            <w:vAlign w:val="center"/>
          </w:tcPr>
          <w:p>
            <w:pPr>
              <w:rPr>
                <w:lang w:eastAsia="ja-JP"/>
              </w:rPr>
            </w:pPr>
          </w:p>
        </w:tc>
        <w:tc>
          <w:tcPr>
            <w:tcW w:w="131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6" w:type="dxa"/>
            <w:vAlign w:val="center"/>
          </w:tcPr>
          <w:p>
            <w:pPr>
              <w:rPr>
                <w:lang w:eastAsia="ja-JP"/>
              </w:rPr>
            </w:pPr>
            <w:r>
              <w:rPr>
                <w:rFonts w:hint="eastAsia"/>
                <w:lang w:eastAsia="ja-JP"/>
              </w:rPr>
              <w:t>05</w:t>
            </w:r>
          </w:p>
        </w:tc>
        <w:tc>
          <w:tcPr>
            <w:tcW w:w="1988"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5" w:type="dxa"/>
            <w:vAlign w:val="center"/>
          </w:tcPr>
          <w:p>
            <w:pPr>
              <w:rPr>
                <w:lang w:eastAsia="ja-JP"/>
              </w:rPr>
            </w:pPr>
          </w:p>
        </w:tc>
        <w:tc>
          <w:tcPr>
            <w:tcW w:w="131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sym w:font="Wingdings 2" w:char="00A3"/>
            </w: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eastAsia" w:eastAsia="宋体"/>
                <w:lang w:val="en-US" w:eastAsia="zh-CN"/>
              </w:rPr>
            </w:p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57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573"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573"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83"/>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683" w:type="dxa"/>
            <w:vAlign w:val="center"/>
          </w:tcPr>
          <w:p>
            <w:r>
              <w:rPr>
                <w:rFonts w:hint="eastAsia"/>
              </w:rPr>
              <w:t>审核员注册证书号</w:t>
            </w:r>
          </w:p>
        </w:tc>
        <w:tc>
          <w:tcPr>
            <w:tcW w:w="336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2683" w:type="dxa"/>
            <w:vAlign w:val="center"/>
          </w:tcPr>
          <w:p>
            <w:r>
              <w:t>2019-N1QMS-3031946</w:t>
            </w:r>
          </w:p>
          <w:p>
            <w:r>
              <w:t>2021-N1EMS-3031946</w:t>
            </w:r>
          </w:p>
          <w:p>
            <w:r>
              <w:t>2019-N1OHSMS-2031946</w:t>
            </w:r>
          </w:p>
        </w:tc>
        <w:tc>
          <w:tcPr>
            <w:tcW w:w="3366" w:type="dxa"/>
            <w:vAlign w:val="center"/>
          </w:tcPr>
          <w:p>
            <w:r>
              <w:t>EC:28.02.00,28.03.01,28.04.01,28.04.02,28.05.01</w:t>
            </w:r>
          </w:p>
          <w:p>
            <w:r>
              <w:t>E:28.02.00,28.03.01,28.04.01,28.04.02,28.05.01</w:t>
            </w:r>
          </w:p>
          <w:p>
            <w:r>
              <w:t>O:28.02.00,28.03.01,28.04.01,28.04.02,28.05.01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组员</w:t>
            </w:r>
          </w:p>
        </w:tc>
        <w:tc>
          <w:tcPr>
            <w:tcW w:w="711" w:type="dxa"/>
            <w:vAlign w:val="center"/>
          </w:tcPr>
          <w:p>
            <w:r>
              <w:t>男</w:t>
            </w:r>
          </w:p>
        </w:tc>
        <w:tc>
          <w:tcPr>
            <w:tcW w:w="2683" w:type="dxa"/>
            <w:vAlign w:val="center"/>
          </w:tcPr>
          <w:p>
            <w:r>
              <w:t>2019-N1EMS-1257737</w:t>
            </w:r>
          </w:p>
          <w:p>
            <w:r>
              <w:t>2020-N1OHSMS-1257737</w:t>
            </w: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683" w:type="dxa"/>
            <w:vAlign w:val="center"/>
          </w:tcPr>
          <w:p>
            <w:r>
              <w:rPr>
                <w:rFonts w:hint="eastAsia"/>
              </w:rPr>
              <w:t>工作单位</w:t>
            </w:r>
          </w:p>
        </w:tc>
        <w:tc>
          <w:tcPr>
            <w:tcW w:w="336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683" w:type="dxa"/>
            <w:vAlign w:val="center"/>
          </w:tcPr>
          <w:p/>
        </w:tc>
        <w:tc>
          <w:tcPr>
            <w:tcW w:w="3366"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pPr>
              <w:rPr>
                <w:rFonts w:hint="eastAsia" w:eastAsia="宋体"/>
                <w:lang w:val="en-US" w:eastAsia="zh-CN"/>
              </w:rPr>
            </w:pPr>
            <w:r>
              <w:rPr>
                <w:rFonts w:hint="eastAsia"/>
                <w:lang w:val="en-US" w:eastAsia="zh-CN"/>
              </w:rPr>
              <w:t>不涉及</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val="0"/>
                <w:bCs w:val="0"/>
                <w:sz w:val="20"/>
                <w:lang w:eastAsia="zh-CN"/>
              </w:rPr>
              <w:drawing>
                <wp:anchor distT="0" distB="0" distL="114300" distR="114300" simplePos="0" relativeHeight="251659264" behindDoc="1" locked="0" layoutInCell="1" allowOverlap="1">
                  <wp:simplePos x="0" y="0"/>
                  <wp:positionH relativeFrom="column">
                    <wp:posOffset>314960</wp:posOffset>
                  </wp:positionH>
                  <wp:positionV relativeFrom="paragraph">
                    <wp:posOffset>-1270</wp:posOffset>
                  </wp:positionV>
                  <wp:extent cx="440690" cy="339725"/>
                  <wp:effectExtent l="0" t="0" r="16510" b="3175"/>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6"/>
                          <a:stretch>
                            <a:fillRect/>
                          </a:stretch>
                        </pic:blipFill>
                        <pic:spPr>
                          <a:xfrm rot="10800000" flipH="1" flipV="1">
                            <a:off x="0" y="0"/>
                            <a:ext cx="440690" cy="3397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2021-11-17</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生产/服务过程</w:t>
            </w:r>
            <w:r>
              <w:rPr>
                <w:rFonts w:hint="eastAsia"/>
              </w:rPr>
              <w:sym w:font="Wingdings 2" w:char="0052"/>
            </w:r>
            <w:r>
              <w:rPr>
                <w:rFonts w:hint="eastAsia"/>
              </w:rPr>
              <w:t>检验检测</w:t>
            </w:r>
            <w:r>
              <w:rPr>
                <w:rFonts w:hint="eastAsia"/>
              </w:rPr>
              <w:sym w:font="Wingdings 2" w:char="00A3"/>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21"/>
                      <w:szCs w:val="21"/>
                    </w:rPr>
                  </w:pPr>
                  <w:r>
                    <w:rPr>
                      <w:rFonts w:hint="eastAsia"/>
                      <w:sz w:val="21"/>
                      <w:szCs w:val="21"/>
                    </w:rPr>
                    <w:t>主要的风险或机遇描述</w:t>
                  </w:r>
                </w:p>
              </w:tc>
              <w:tc>
                <w:tcPr>
                  <w:tcW w:w="3965" w:type="dxa"/>
                </w:tcPr>
                <w:p>
                  <w:pPr>
                    <w:shd w:val="clear" w:color="auto" w:fill="C7DAF1" w:themeFill="text2" w:themeFillTint="32"/>
                    <w:rPr>
                      <w:sz w:val="21"/>
                      <w:szCs w:val="21"/>
                    </w:rPr>
                  </w:pPr>
                  <w:r>
                    <w:rPr>
                      <w:rFonts w:hint="eastAsia"/>
                      <w:sz w:val="21"/>
                      <w:szCs w:val="21"/>
                    </w:rPr>
                    <w:t>应对措施</w:t>
                  </w:r>
                </w:p>
              </w:tc>
              <w:tc>
                <w:tcPr>
                  <w:tcW w:w="1717" w:type="dxa"/>
                </w:tcPr>
                <w:p>
                  <w:pPr>
                    <w:shd w:val="clear" w:color="auto" w:fill="C7DAF1" w:themeFill="text2" w:themeFillTint="32"/>
                    <w:rPr>
                      <w:sz w:val="21"/>
                      <w:szCs w:val="21"/>
                    </w:rPr>
                  </w:pPr>
                  <w:r>
                    <w:rPr>
                      <w:rFonts w:hint="eastAsia"/>
                      <w:sz w:val="21"/>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政策法律法规</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法律法规和其他要求控制程序</w:t>
                  </w:r>
                </w:p>
              </w:tc>
              <w:tc>
                <w:tcPr>
                  <w:tcW w:w="1717" w:type="dxa"/>
                </w:tcPr>
                <w:p>
                  <w:pPr>
                    <w:shd w:val="clear" w:color="auto" w:fill="C7DAF1" w:themeFill="text2" w:themeFillTint="32"/>
                    <w:rPr>
                      <w:rFonts w:hint="default" w:eastAsia="宋体"/>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行业、技术变化</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717" w:type="dxa"/>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市场风险</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717" w:type="dxa"/>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市场竞争</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717" w:type="dxa"/>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文化</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0" w:type="auto"/>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社会环境</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经济环境</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董事会在关注</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组织机构设置</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设置不合理，会造成职责不清</w:t>
                  </w:r>
                  <w:r>
                    <w:rPr>
                      <w:rFonts w:hint="eastAsia" w:ascii="宋体" w:cs="宋体"/>
                      <w:sz w:val="21"/>
                      <w:szCs w:val="21"/>
                      <w:lang w:eastAsia="zh-CN"/>
                    </w:rPr>
                    <w:t>，</w:t>
                  </w:r>
                  <w:r>
                    <w:rPr>
                      <w:rFonts w:hint="eastAsia" w:ascii="宋体" w:cs="宋体"/>
                      <w:sz w:val="21"/>
                      <w:szCs w:val="21"/>
                    </w:rPr>
                    <w:t>管理层确定组织机构</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目标制定</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方针、目标（指标）、方案管理程序</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措施制定</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订单评审</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交付产品</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供方评定和选择控制程序/采购控制程序/制定目标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顾客投诉</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满意度情况调查</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52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52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802" w:type="dxa"/>
                  <w:shd w:val="clear" w:color="auto" w:fill="auto"/>
                </w:tcPr>
                <w:p>
                  <w:pPr>
                    <w:spacing w:beforeLines="50" w:afterLines="50" w:line="288" w:lineRule="auto"/>
                  </w:pPr>
                  <w:r>
                    <w:rPr>
                      <w:rFonts w:hint="eastAsia"/>
                      <w:szCs w:val="21"/>
                    </w:rPr>
                    <w:t>1.单项工程一次交验合格率100%</w:t>
                  </w:r>
                  <w:r>
                    <w:rPr>
                      <w:rFonts w:hint="eastAsia"/>
                      <w:szCs w:val="21"/>
                    </w:rPr>
                    <w:tab/>
                  </w:r>
                </w:p>
              </w:tc>
              <w:tc>
                <w:tcPr>
                  <w:tcW w:w="2525" w:type="dxa"/>
                  <w:shd w:val="clear" w:color="auto" w:fill="auto"/>
                  <w:vAlign w:val="top"/>
                </w:tcPr>
                <w:p>
                  <w:pPr>
                    <w:spacing w:line="360" w:lineRule="auto"/>
                    <w:rPr>
                      <w:lang w:val="en-GB"/>
                    </w:rPr>
                  </w:pPr>
                  <w:r>
                    <w:rPr>
                      <w:rFonts w:hint="eastAsia"/>
                      <w:szCs w:val="21"/>
                    </w:rPr>
                    <w:t>单项工程一次检验合格数/单项工程检验总数x100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工程管理部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802" w:type="dxa"/>
                  <w:shd w:val="clear" w:color="auto" w:fill="auto"/>
                </w:tcPr>
                <w:p>
                  <w:pPr>
                    <w:spacing w:beforeLines="50" w:afterLines="50" w:line="288" w:lineRule="auto"/>
                  </w:pPr>
                  <w:r>
                    <w:rPr>
                      <w:rFonts w:hint="eastAsia"/>
                      <w:szCs w:val="21"/>
                    </w:rPr>
                    <w:t>2.顾客满意率≥95%</w:t>
                  </w:r>
                  <w:r>
                    <w:rPr>
                      <w:rFonts w:hint="eastAsia"/>
                      <w:szCs w:val="21"/>
                    </w:rPr>
                    <w:tab/>
                  </w:r>
                </w:p>
              </w:tc>
              <w:tc>
                <w:tcPr>
                  <w:tcW w:w="2525" w:type="dxa"/>
                  <w:shd w:val="clear" w:color="auto" w:fill="auto"/>
                  <w:vAlign w:val="top"/>
                </w:tcPr>
                <w:p>
                  <w:pPr>
                    <w:spacing w:line="360" w:lineRule="auto"/>
                    <w:rPr>
                      <w:rFonts w:ascii="宋体" w:hAnsi="宋体"/>
                    </w:rPr>
                  </w:pPr>
                  <w:r>
                    <w:rPr>
                      <w:rFonts w:hint="eastAsia"/>
                      <w:szCs w:val="21"/>
                    </w:rPr>
                    <w:object>
                      <v:shape id="_x0000_i1025" o:spt="75" type="#_x0000_t75" style="height:10.35pt;width:12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r>
                    <w:rPr>
                      <w:rFonts w:hint="eastAsia"/>
                      <w:szCs w:val="21"/>
                    </w:rPr>
                    <w:t>顾客评分/</w:t>
                  </w:r>
                  <w:r>
                    <w:rPr>
                      <w:rFonts w:hint="eastAsia"/>
                      <w:szCs w:val="21"/>
                    </w:rPr>
                    <w:object>
                      <v:shape id="_x0000_i1026" o:spt="75" type="#_x0000_t75" style="height:11.55pt;width:15.25pt;" o:ole="t" filled="f" o:preferrelative="t" stroked="f" coordsize="21600,21600">
                        <v:path/>
                        <v:fill on="f" focussize="0,0"/>
                        <v:stroke on="f"/>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szCs w:val="21"/>
                    </w:rPr>
                    <w:t>被调查顾客数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市场经营部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szCs w:val="21"/>
                    </w:rPr>
                    <w:t>9</w:t>
                  </w:r>
                  <w:r>
                    <w:rPr>
                      <w:rFonts w:hint="eastAsia"/>
                      <w:szCs w:val="21"/>
                      <w:lang w:val="en-US" w:eastAsia="zh-CN"/>
                    </w:rPr>
                    <w:t>7.18</w:t>
                  </w:r>
                  <w:r>
                    <w:rPr>
                      <w:rFonts w:hint="eastAsia"/>
                      <w:szCs w:val="21"/>
                    </w:rPr>
                    <w:t>%</w:t>
                  </w:r>
                  <w:r>
                    <w:rPr>
                      <w:rFonts w:hint="eastAsia"/>
                      <w:szCs w:val="21"/>
                    </w:rPr>
                    <w:tab/>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w:t>
            </w:r>
            <w:r>
              <w:rPr>
                <w:rFonts w:hint="eastAsia"/>
              </w:rPr>
              <w:sym w:font="Wingdings 2" w:char="0052"/>
            </w:r>
            <w:r>
              <w:rPr>
                <w:rFonts w:hint="eastAsia"/>
              </w:rPr>
              <w:t>部门职责变更</w:t>
            </w:r>
            <w:r>
              <w:rPr>
                <w:rFonts w:hint="eastAsia"/>
              </w:rPr>
              <w:sym w:font="Wingdings 2" w:char="0052"/>
            </w:r>
            <w:r>
              <w:rPr>
                <w:rFonts w:hint="eastAsia"/>
              </w:rPr>
              <w:t>主要原材料</w:t>
            </w:r>
            <w:r>
              <w:rPr>
                <w:rFonts w:hint="eastAsia"/>
              </w:rPr>
              <w:sym w:font="Wingdings 2" w:char="0052"/>
            </w:r>
            <w:r>
              <w:rPr>
                <w:rFonts w:hint="eastAsia"/>
              </w:rPr>
              <w:t>关键人员</w:t>
            </w:r>
            <w:r>
              <w:rPr>
                <w:rFonts w:hint="eastAsia"/>
              </w:rPr>
              <w:sym w:font="Wingdings 2" w:char="0052"/>
            </w:r>
            <w:r>
              <w:rPr>
                <w:rFonts w:hint="eastAsia"/>
              </w:rPr>
              <w:t>生产工艺/服务流程</w:t>
            </w:r>
          </w:p>
          <w:p>
            <w:pPr>
              <w:shd w:val="clear" w:color="auto" w:fill="C7DAF1" w:themeFill="text2" w:themeFillTint="32"/>
              <w:spacing w:before="40" w:after="40"/>
            </w:pPr>
            <w:r>
              <w:rPr>
                <w:rFonts w:hint="eastAsia"/>
              </w:rPr>
              <w:sym w:font="Wingdings 2" w:char="0052"/>
            </w:r>
            <w:r>
              <w:rPr>
                <w:rFonts w:hint="eastAsia"/>
              </w:rPr>
              <w:t>主要设备设施</w:t>
            </w:r>
            <w:r>
              <w:rPr>
                <w:rFonts w:hint="eastAsia"/>
              </w:rPr>
              <w:sym w:font="Wingdings 2" w:char="0052"/>
            </w:r>
            <w:r>
              <w:rPr>
                <w:rFonts w:hint="eastAsia"/>
              </w:rPr>
              <w:t>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sym w:font="Wingdings 2" w:char="0052"/>
            </w: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9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default"/>
              </w:rPr>
              <w:t>3370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lang w:val="en-US" w:eastAsia="zh-CN"/>
              </w:rPr>
              <w:t>不涉及</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rPr>
                <w:rFonts w:hint="eastAsia" w:eastAsia="宋体"/>
                <w:lang w:val="en-US" w:eastAsia="zh-CN"/>
              </w:rPr>
            </w:pPr>
            <w:r>
              <w:rPr>
                <w:rFonts w:hint="eastAsia"/>
              </w:rPr>
              <w:t>□组织</w:t>
            </w:r>
            <w:r>
              <w:t>现有</w:t>
            </w:r>
            <w:r>
              <w:rPr>
                <w:rFonts w:hint="eastAsia"/>
              </w:rPr>
              <w:t>运行环境可基本满足质量管理体系运行，说明：</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□组织</w:t>
            </w:r>
            <w:r>
              <w:t>现有</w:t>
            </w:r>
            <w:r>
              <w:rPr>
                <w:rFonts w:hint="eastAsia"/>
              </w:rPr>
              <w:t>运行环境完全不能满足质量管理体系运行，说明：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rPr>
              <w:t>（列举1~4种）</w:t>
            </w:r>
            <w:r>
              <w:rPr>
                <w:rFonts w:hint="eastAsia"/>
                <w:u w:val="single"/>
                <w:lang w:val="en-US" w:eastAsia="zh-CN"/>
              </w:rPr>
              <w:t>摇表、经纬仪</w:t>
            </w:r>
            <w:r>
              <w:rPr>
                <w:rFonts w:hint="default"/>
                <w:u w:val="single"/>
                <w:lang w:eastAsia="zh-CN"/>
              </w:rPr>
              <w:t>、</w:t>
            </w:r>
            <w:r>
              <w:rPr>
                <w:rFonts w:hint="eastAsia"/>
                <w:u w:val="single"/>
                <w:lang w:val="en-US" w:eastAsia="zh-CN"/>
              </w:rPr>
              <w:t>水准仪</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u w:val="single"/>
                <w:lang w:val="en-US" w:eastAsia="zh-CN"/>
              </w:rPr>
              <w:t>摇表、经纬仪、水准仪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rPr>
              <w:t>（</w:t>
            </w:r>
            <w:r>
              <w:rPr>
                <w:rFonts w:hint="eastAsia"/>
              </w:rPr>
              <w:t>举1例）</w:t>
            </w:r>
            <w:r>
              <w:rPr>
                <w:rFonts w:hint="eastAsia"/>
                <w:lang w:eastAsia="zh-CN"/>
              </w:rPr>
              <w:t>：</w:t>
            </w:r>
            <w:r>
              <w:rPr>
                <w:rFonts w:hint="eastAsia"/>
                <w:lang w:val="en-US" w:eastAsia="zh-CN"/>
              </w:rPr>
              <w:t>不涉及</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val="en-US" w:eastAsia="zh-CN"/>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A3"/>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color w:val="auto"/>
                    </w:rPr>
                  </w:pP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tcPr>
                <w:p>
                  <w:pPr>
                    <w:ind w:firstLine="420" w:firstLineChars="200"/>
                    <w:rPr>
                      <w:rFonts w:hint="eastAsia"/>
                      <w:color w:val="auto"/>
                      <w:szCs w:val="21"/>
                      <w:highlight w:val="none"/>
                    </w:rPr>
                  </w:pPr>
                  <w:r>
                    <w:rPr>
                      <w:rFonts w:hint="eastAsia"/>
                      <w:color w:val="auto"/>
                      <w:szCs w:val="21"/>
                      <w:highlight w:val="none"/>
                    </w:rPr>
                    <w:t>关键过程为</w:t>
                  </w: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rPr>
                      <w:color w:val="auto"/>
                    </w:rPr>
                  </w:pPr>
                </w:p>
              </w:tc>
              <w:tc>
                <w:tcPr>
                  <w:tcW w:w="3265" w:type="dxa"/>
                </w:tcPr>
                <w:p>
                  <w:pPr>
                    <w:ind w:firstLine="420" w:firstLineChars="200"/>
                    <w:rPr>
                      <w:color w:val="auto"/>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tc>
            </w:tr>
          </w:tbl>
          <w:p>
            <w:pPr>
              <w:snapToGrid w:val="0"/>
              <w:spacing w:line="280" w:lineRule="exact"/>
              <w:rPr>
                <w:color w:val="auto"/>
              </w:rPr>
            </w:pPr>
            <w:r>
              <w:rPr>
                <w:rFonts w:hint="eastAsia"/>
                <w:color w:val="auto"/>
              </w:rPr>
              <w:t>：</w:t>
            </w:r>
            <w:r>
              <w:rPr>
                <w:rFonts w:hint="eastAsia"/>
                <w:color w:val="auto"/>
                <w:lang w:val="en-US" w:eastAsia="zh-CN"/>
              </w:rPr>
              <w:t>焊接过程</w:t>
            </w:r>
            <w:r>
              <w:rPr>
                <w:rFonts w:hint="eastAsia" w:hAnsi="宋体"/>
                <w:color w:val="auto"/>
                <w:sz w:val="21"/>
                <w:szCs w:val="21"/>
              </w:rPr>
              <w:t>、隐蔽工程</w:t>
            </w:r>
            <w:r>
              <w:rPr>
                <w:rFonts w:hint="eastAsia" w:hAnsi="宋体"/>
                <w:color w:val="auto"/>
                <w:sz w:val="21"/>
                <w:szCs w:val="21"/>
                <w:lang w:eastAsia="zh-CN"/>
              </w:rPr>
              <w:t>；</w:t>
            </w:r>
            <w:r>
              <w:rPr>
                <w:rFonts w:hint="eastAsia" w:hAnsi="宋体"/>
                <w:color w:val="auto"/>
                <w:sz w:val="21"/>
                <w:szCs w:val="21"/>
                <w:lang w:val="en-US" w:eastAsia="zh-CN"/>
              </w:rPr>
              <w:t>依据</w:t>
            </w:r>
            <w:r>
              <w:rPr>
                <w:rFonts w:hint="eastAsia" w:hAnsi="宋体"/>
                <w:color w:val="auto"/>
                <w:sz w:val="21"/>
                <w:szCs w:val="21"/>
              </w:rPr>
              <w:t>作业指导书等</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t>□</w:t>
            </w:r>
            <w:r>
              <w:rPr>
                <w:rFonts w:hint="eastAsia"/>
                <w:color w:val="auto"/>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rPr>
                <w:color w:val="FF0000"/>
              </w:rPr>
            </w:pPr>
            <w:r>
              <w:rPr>
                <w:rFonts w:hint="eastAsia"/>
              </w:rPr>
              <w:t>《型式检验报告》</w:t>
            </w:r>
            <w:r>
              <w:rPr>
                <w:rFonts w:hint="eastAsia"/>
                <w:lang w:val="en-US" w:eastAsia="zh-CN"/>
              </w:rPr>
              <w:t xml:space="preserve"> </w:t>
            </w:r>
            <w:r>
              <w:rPr>
                <w:rFonts w:hint="eastAsia"/>
              </w:rPr>
              <w:t>如：</w:t>
            </w:r>
            <w:r>
              <w:rPr>
                <w:rFonts w:hint="eastAsia"/>
                <w:lang w:val="en-US" w:eastAsia="zh-CN"/>
              </w:rPr>
              <w:t>无</w:t>
            </w:r>
            <w:r>
              <w:rPr>
                <w:rFonts w:hint="eastAsia"/>
                <w:color w:val="FF0000"/>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sym w:font="Wingdings 2" w:char="0052"/>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default"/>
              </w:rPr>
              <w:t>2021</w:t>
            </w:r>
            <w:r>
              <w:rPr>
                <w:rFonts w:hint="eastAsia"/>
              </w:rPr>
              <w:t>年</w:t>
            </w:r>
            <w:r>
              <w:rPr>
                <w:rFonts w:hint="eastAsia"/>
                <w:lang w:val="en-US" w:eastAsia="zh-CN"/>
              </w:rPr>
              <w:t>8</w:t>
            </w:r>
            <w:r>
              <w:rPr>
                <w:rFonts w:hint="eastAsia"/>
              </w:rPr>
              <w:t>月</w:t>
            </w:r>
            <w:r>
              <w:rPr>
                <w:rFonts w:hint="eastAsia"/>
                <w:lang w:val="en-US" w:eastAsia="zh-CN"/>
              </w:rPr>
              <w:t>4-5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8月16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生产/服务过程□环保监测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ind w:firstLine="840" w:firstLineChars="400"/>
                    <w:rPr>
                      <w:rFonts w:hint="eastAsia"/>
                      <w:lang w:val="en-US" w:eastAsia="zh-CN"/>
                    </w:rPr>
                  </w:pPr>
                  <w:r>
                    <w:rPr>
                      <w:rFonts w:hint="eastAsia"/>
                      <w:lang w:val="en-US" w:eastAsia="zh-CN"/>
                    </w:rPr>
                    <w:t>粉尘排放</w:t>
                  </w:r>
                </w:p>
              </w:tc>
              <w:tc>
                <w:tcPr>
                  <w:tcW w:w="3965" w:type="dxa"/>
                </w:tcPr>
                <w:p>
                  <w:pPr>
                    <w:spacing w:line="360" w:lineRule="exact"/>
                    <w:rPr>
                      <w:rFonts w:hint="eastAsia"/>
                    </w:rPr>
                  </w:pPr>
                  <w:r>
                    <w:rPr>
                      <w:rFonts w:hint="eastAsia"/>
                    </w:rPr>
                    <w:t>1、进行湿法施工</w:t>
                  </w:r>
                </w:p>
                <w:p>
                  <w:pPr>
                    <w:adjustRightInd w:val="0"/>
                    <w:snapToGrid w:val="0"/>
                    <w:spacing w:line="360" w:lineRule="exact"/>
                    <w:jc w:val="left"/>
                    <w:rPr>
                      <w:rFonts w:hint="eastAsia"/>
                    </w:rPr>
                  </w:pPr>
                  <w:r>
                    <w:rPr>
                      <w:rFonts w:hint="eastAsia"/>
                    </w:rPr>
                    <w:t>2、密目网覆盖</w:t>
                  </w:r>
                </w:p>
                <w:p>
                  <w:pPr>
                    <w:adjustRightInd w:val="0"/>
                    <w:snapToGrid w:val="0"/>
                    <w:spacing w:line="360" w:lineRule="exact"/>
                    <w:jc w:val="left"/>
                    <w:rPr>
                      <w:rFonts w:hint="eastAsia"/>
                    </w:rPr>
                  </w:pPr>
                  <w:r>
                    <w:rPr>
                      <w:rFonts w:hint="eastAsia"/>
                    </w:rPr>
                    <w:t>3、密闭运输</w:t>
                  </w:r>
                </w:p>
                <w:p>
                  <w:pPr>
                    <w:adjustRightInd w:val="0"/>
                    <w:snapToGrid w:val="0"/>
                    <w:spacing w:line="360" w:lineRule="exact"/>
                    <w:jc w:val="left"/>
                    <w:rPr>
                      <w:rFonts w:hint="eastAsia"/>
                    </w:rPr>
                  </w:pPr>
                  <w:r>
                    <w:rPr>
                      <w:rFonts w:hint="eastAsia"/>
                    </w:rPr>
                    <w:t>4、进出车辆冲洗</w:t>
                  </w:r>
                </w:p>
                <w:p>
                  <w:pPr>
                    <w:shd w:val="clear" w:color="auto" w:fill="EBF1DE" w:themeFill="accent3" w:themeFillTint="32"/>
                    <w:rPr>
                      <w:rFonts w:hint="eastAsia"/>
                    </w:rPr>
                  </w:pPr>
                  <w:r>
                    <w:rPr>
                      <w:rFonts w:hint="eastAsia"/>
                    </w:rPr>
                    <w:t>5、及时硬化、绿化</w:t>
                  </w:r>
                </w:p>
              </w:tc>
              <w:tc>
                <w:tcPr>
                  <w:tcW w:w="1717" w:type="dxa"/>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废水处理</w:t>
                  </w:r>
                </w:p>
              </w:tc>
              <w:tc>
                <w:tcPr>
                  <w:tcW w:w="3965" w:type="dxa"/>
                  <w:vAlign w:val="center"/>
                </w:tcPr>
                <w:p>
                  <w:pPr>
                    <w:spacing w:line="360" w:lineRule="exact"/>
                    <w:rPr>
                      <w:rFonts w:hint="eastAsia"/>
                    </w:rPr>
                  </w:pPr>
                  <w:r>
                    <w:rPr>
                      <w:rFonts w:hint="eastAsia"/>
                    </w:rPr>
                    <w:t>1、制定管理制度；</w:t>
                  </w:r>
                </w:p>
                <w:p>
                  <w:pPr>
                    <w:jc w:val="center"/>
                    <w:rPr>
                      <w:rFonts w:hint="eastAsia"/>
                      <w:lang w:val="en-US" w:eastAsia="zh-CN"/>
                    </w:rPr>
                  </w:pPr>
                  <w:r>
                    <w:rPr>
                      <w:rFonts w:hint="eastAsia"/>
                    </w:rPr>
                    <w:t>2、采取三级沉淀池处理，循环使用</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废气处理</w:t>
                  </w:r>
                </w:p>
              </w:tc>
              <w:tc>
                <w:tcPr>
                  <w:tcW w:w="3965" w:type="dxa"/>
                  <w:vAlign w:val="center"/>
                </w:tcPr>
                <w:p>
                  <w:pPr>
                    <w:jc w:val="both"/>
                    <w:rPr>
                      <w:rFonts w:hint="eastAsia"/>
                      <w:lang w:val="en-US" w:eastAsia="zh-CN"/>
                    </w:rPr>
                  </w:pPr>
                  <w:r>
                    <w:rPr>
                      <w:rFonts w:hint="eastAsia"/>
                      <w:lang w:val="en-US" w:eastAsia="zh-CN"/>
                    </w:rPr>
                    <w:t>1、运行</w:t>
                  </w:r>
                  <w:r>
                    <w:rPr>
                      <w:rFonts w:hint="eastAsia"/>
                    </w:rPr>
                    <w:t>控制程序/制定目标</w:t>
                  </w:r>
                </w:p>
                <w:p>
                  <w:pPr>
                    <w:jc w:val="both"/>
                    <w:rPr>
                      <w:rFonts w:hint="eastAsia"/>
                    </w:rPr>
                  </w:pPr>
                  <w:r>
                    <w:rPr>
                      <w:rFonts w:hint="eastAsia"/>
                      <w:lang w:val="en-US" w:eastAsia="zh-CN"/>
                    </w:rPr>
                    <w:t>2、定期检查/内审/管理评审</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固废控制</w:t>
                  </w:r>
                </w:p>
              </w:tc>
              <w:tc>
                <w:tcPr>
                  <w:tcW w:w="3965" w:type="dxa"/>
                  <w:vAlign w:val="center"/>
                </w:tcPr>
                <w:p>
                  <w:pPr>
                    <w:numPr>
                      <w:ilvl w:val="0"/>
                      <w:numId w:val="2"/>
                    </w:numPr>
                    <w:spacing w:line="360" w:lineRule="exact"/>
                    <w:rPr>
                      <w:rFonts w:hint="eastAsia"/>
                    </w:rPr>
                  </w:pPr>
                  <w:r>
                    <w:rPr>
                      <w:rFonts w:hint="eastAsia"/>
                    </w:rPr>
                    <w:t>可再利用的物资进行回收</w:t>
                  </w:r>
                </w:p>
                <w:p>
                  <w:pPr>
                    <w:numPr>
                      <w:ilvl w:val="0"/>
                      <w:numId w:val="2"/>
                    </w:numPr>
                    <w:spacing w:line="360" w:lineRule="exact"/>
                    <w:rPr>
                      <w:rFonts w:hint="eastAsia"/>
                    </w:rPr>
                  </w:pPr>
                  <w:r>
                    <w:rPr>
                      <w:rFonts w:hint="eastAsia"/>
                    </w:rPr>
                    <w:t>生活垃圾交环卫公司清运、处理</w:t>
                  </w:r>
                  <w:r>
                    <w:rPr>
                      <w:rFonts w:hint="eastAsia"/>
                      <w:lang w:eastAsia="zh-CN"/>
                    </w:rPr>
                    <w:t>。</w:t>
                  </w:r>
                </w:p>
                <w:p>
                  <w:pPr>
                    <w:jc w:val="both"/>
                    <w:rPr>
                      <w:rFonts w:hint="eastAsia"/>
                    </w:rPr>
                  </w:pPr>
                  <w:r>
                    <w:rPr>
                      <w:rFonts w:hint="eastAsia"/>
                      <w:lang w:val="en-US" w:eastAsia="zh-CN"/>
                    </w:rPr>
                    <w:t>3、</w:t>
                  </w:r>
                  <w:r>
                    <w:rPr>
                      <w:rFonts w:hint="eastAsia"/>
                    </w:rPr>
                    <w:t>固废物交由有资质的单位处理</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噪声控制</w:t>
                  </w:r>
                </w:p>
              </w:tc>
              <w:tc>
                <w:tcPr>
                  <w:tcW w:w="3965" w:type="dxa"/>
                  <w:vAlign w:val="top"/>
                </w:tcPr>
                <w:p>
                  <w:pPr>
                    <w:spacing w:line="360" w:lineRule="exact"/>
                    <w:rPr>
                      <w:rFonts w:hint="eastAsia"/>
                    </w:rPr>
                  </w:pPr>
                  <w:r>
                    <w:rPr>
                      <w:rFonts w:hint="eastAsia"/>
                    </w:rPr>
                    <w:t>1、对噪声大的设备进行隔音处理</w:t>
                  </w:r>
                </w:p>
                <w:p>
                  <w:pPr>
                    <w:spacing w:line="360" w:lineRule="exact"/>
                    <w:rPr>
                      <w:rFonts w:hint="eastAsia"/>
                    </w:rPr>
                  </w:pPr>
                  <w:r>
                    <w:rPr>
                      <w:rFonts w:hint="eastAsia"/>
                    </w:rPr>
                    <w:t>2、对噪声大的设备采取减震措施</w:t>
                  </w:r>
                </w:p>
                <w:p>
                  <w:pPr>
                    <w:spacing w:line="360" w:lineRule="exact"/>
                    <w:rPr>
                      <w:rFonts w:hint="eastAsia"/>
                    </w:rPr>
                  </w:pPr>
                  <w:r>
                    <w:rPr>
                      <w:rFonts w:hint="eastAsia"/>
                    </w:rPr>
                    <w:t>3、加强施工设备的维护、保养</w:t>
                  </w:r>
                </w:p>
                <w:p>
                  <w:pPr>
                    <w:shd w:val="clear" w:color="auto" w:fill="EBF1DE" w:themeFill="accent3" w:themeFillTint="32"/>
                    <w:rPr>
                      <w:rFonts w:hint="eastAsia"/>
                    </w:rPr>
                  </w:pPr>
                  <w:r>
                    <w:rPr>
                      <w:rFonts w:hint="eastAsia"/>
                    </w:rPr>
                    <w:t>4、控制施工作业时间，避免午间、夜间施工</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pPr>
                  <w:r>
                    <w:rPr>
                      <w:rFonts w:hint="eastAsia"/>
                      <w:szCs w:val="21"/>
                    </w:rPr>
                    <w:t>施工噪声:投诉率为0</w:t>
                  </w:r>
                </w:p>
              </w:tc>
              <w:tc>
                <w:tcPr>
                  <w:tcW w:w="3136" w:type="dxa"/>
                  <w:shd w:val="clear" w:color="auto" w:fill="auto"/>
                  <w:vAlign w:val="top"/>
                </w:tcPr>
                <w:p>
                  <w:pPr>
                    <w:spacing w:line="360" w:lineRule="auto"/>
                    <w:rPr>
                      <w:lang w:val="en-GB"/>
                    </w:rPr>
                  </w:pPr>
                  <w:r>
                    <w:rPr>
                      <w:rFonts w:hint="eastAsia"/>
                      <w:szCs w:val="21"/>
                    </w:rPr>
                    <w:t>以实际投诉计算</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pPr>
                  <w:r>
                    <w:rPr>
                      <w:rFonts w:hint="eastAsia"/>
                      <w:szCs w:val="21"/>
                    </w:rPr>
                    <w:t>固体废弃物分类处置率100%</w:t>
                  </w:r>
                </w:p>
              </w:tc>
              <w:tc>
                <w:tcPr>
                  <w:tcW w:w="3136" w:type="dxa"/>
                  <w:shd w:val="clear" w:color="auto" w:fill="auto"/>
                  <w:vAlign w:val="top"/>
                </w:tcPr>
                <w:p>
                  <w:pPr>
                    <w:spacing w:line="360" w:lineRule="auto"/>
                    <w:rPr>
                      <w:rFonts w:ascii="宋体" w:hAnsi="宋体"/>
                    </w:rPr>
                  </w:pPr>
                  <w:r>
                    <w:rPr>
                      <w:rFonts w:hint="eastAsia"/>
                      <w:szCs w:val="21"/>
                    </w:rPr>
                    <w:t>可回收、不可回收、废弃物分类投放</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已完成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3370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汽车吊、卡车、焊机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rPr>
              <w:t>（列举2~4种）</w:t>
            </w:r>
            <w:r>
              <w:rPr>
                <w:rFonts w:hint="eastAsia"/>
                <w:u w:val="single"/>
                <w:lang w:val="en-US" w:eastAsia="zh-CN"/>
              </w:rPr>
              <w:t>灭火器、防护罩</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sym w:font="Wingdings 2" w:char="0052"/>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hint="eastAsia"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rPr>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rPr>
                      <w:color w:val="auto"/>
                    </w:rPr>
                  </w:pPr>
                  <w:r>
                    <w:rPr>
                      <w:rFonts w:hint="eastAsia"/>
                      <w:color w:val="auto"/>
                    </w:rPr>
                    <w:t>废水排放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val="en-US" w:eastAsia="zh-CN"/>
              </w:rPr>
            </w:pPr>
            <w:r>
              <w:rPr>
                <w:rFonts w:hint="eastAsia"/>
              </w:rPr>
              <w:t>特种设备检测报告，如：</w:t>
            </w:r>
            <w:r>
              <w:rPr>
                <w:rFonts w:hint="eastAsia"/>
                <w:u w:val="single"/>
              </w:rPr>
              <w:t>（</w:t>
            </w:r>
            <w:r>
              <w:rPr>
                <w:rFonts w:hint="eastAsia"/>
              </w:rPr>
              <w:t>举1例）</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pacing w:beforeLines="50" w:afterLines="50" w:line="288" w:lineRule="auto"/>
              <w:ind w:firstLine="420" w:firstLineChars="200"/>
              <w:rPr>
                <w:szCs w:val="21"/>
              </w:rPr>
            </w:pPr>
            <w:r>
              <w:rPr>
                <w:rFonts w:hint="eastAsia"/>
              </w:rPr>
              <w:t>制订的应急预案包括：</w:t>
            </w:r>
            <w:r>
              <w:rPr>
                <w:rFonts w:hint="eastAsia"/>
                <w:szCs w:val="21"/>
              </w:rPr>
              <w:t>火灾、触电、人员伤亡等应急预案</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szCs w:val="21"/>
              </w:rPr>
              <w:t>20</w:t>
            </w:r>
            <w:r>
              <w:rPr>
                <w:rFonts w:hint="eastAsia"/>
                <w:szCs w:val="21"/>
              </w:rPr>
              <w:t>21</w:t>
            </w:r>
            <w:r>
              <w:rPr>
                <w:szCs w:val="21"/>
              </w:rPr>
              <w:t>年</w:t>
            </w:r>
            <w:r>
              <w:rPr>
                <w:rFonts w:hint="eastAsia"/>
                <w:szCs w:val="21"/>
              </w:rPr>
              <w:t>6月25</w:t>
            </w:r>
            <w:r>
              <w:rPr>
                <w:szCs w:val="21"/>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不涉及</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4-5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安全监测</w:t>
            </w:r>
            <w:r>
              <w:rPr>
                <w:rFonts w:hint="eastAsia"/>
              </w:rPr>
              <w:sym w:font="Wingdings 2" w:char="0052"/>
            </w:r>
            <w:r>
              <w:rPr>
                <w:rFonts w:hint="eastAsia"/>
              </w:rPr>
              <w:t>产品运输□设备维修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综合部、工程部</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40" w:type="dxa"/>
                </w:tcPr>
                <w:p>
                  <w:pPr>
                    <w:rPr>
                      <w:rFonts w:hint="default" w:eastAsia="宋体"/>
                      <w:lang w:val="en-US" w:eastAsia="zh-CN"/>
                    </w:rPr>
                  </w:pPr>
                  <w:r>
                    <w:rPr>
                      <w:rFonts w:hint="eastAsia"/>
                      <w:lang w:val="en-US" w:eastAsia="zh-CN"/>
                    </w:rPr>
                    <w:t>火灾等应急管理</w:t>
                  </w:r>
                </w:p>
              </w:tc>
              <w:tc>
                <w:tcPr>
                  <w:tcW w:w="3965" w:type="dxa"/>
                </w:tcPr>
                <w:p>
                  <w:r>
                    <w:rPr>
                      <w:rFonts w:hint="eastAsia" w:ascii="宋体" w:cs="宋体"/>
                      <w:sz w:val="24"/>
                      <w:szCs w:val="24"/>
                    </w:rPr>
                    <w:t>应急准备与响应控制程序、应急预案/制定目标</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szCs w:val="21"/>
                    </w:rPr>
                    <w:t>人员伤害</w:t>
                  </w:r>
                </w:p>
              </w:tc>
              <w:tc>
                <w:tcPr>
                  <w:tcW w:w="3965" w:type="dxa"/>
                </w:tcPr>
                <w:p>
                  <w:r>
                    <w:rPr>
                      <w:rFonts w:hint="eastAsia" w:ascii="宋体" w:hAnsi="宋体"/>
                      <w:szCs w:val="21"/>
                    </w:rPr>
                    <w:t>按法律法规要求，规范管理</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r>
              <w:rPr>
                <w:rFonts w:hint="eastAsia"/>
              </w:rPr>
              <w:t>□安全预评估报告日期：</w:t>
            </w:r>
          </w:p>
          <w:p>
            <w:r>
              <w:rPr>
                <w:rFonts w:hint="eastAsia"/>
              </w:rPr>
              <w:t>□安全现状评估报告表日期：</w:t>
            </w:r>
          </w:p>
          <w:p>
            <w:pPr>
              <w:rPr>
                <w:rFonts w:hint="eastAsia" w:eastAsia="宋体"/>
                <w:color w:val="FF0000"/>
                <w:lang w:val="en-US" w:eastAsia="zh-CN"/>
              </w:rPr>
            </w:pPr>
            <w:r>
              <w:rPr>
                <w:rFonts w:hint="eastAsia"/>
              </w:rPr>
              <w:sym w:font="Wingdings 2" w:char="0052"/>
            </w:r>
            <w:r>
              <w:rPr>
                <w:rFonts w:hint="eastAsia"/>
              </w:rPr>
              <w:t>职业病体检报告书日期：</w:t>
            </w:r>
            <w:r>
              <w:rPr>
                <w:rFonts w:hint="eastAsia"/>
                <w:lang w:val="en-US" w:eastAsia="zh-CN"/>
              </w:rPr>
              <w:t>见附件</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92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6" w:type="dxa"/>
                  <w:shd w:val="clear" w:color="auto" w:fill="auto"/>
                </w:tcPr>
                <w:p>
                  <w:pPr>
                    <w:rPr>
                      <w:rFonts w:ascii="宋体" w:hAnsi="宋体"/>
                    </w:rPr>
                  </w:pPr>
                  <w:r>
                    <w:rPr>
                      <w:rFonts w:hint="eastAsia"/>
                    </w:rPr>
                    <w:t>职业健康安全</w:t>
                  </w:r>
                  <w:r>
                    <w:rPr>
                      <w:rFonts w:hint="eastAsia" w:ascii="宋体" w:hAnsi="宋体"/>
                    </w:rPr>
                    <w:t>目标</w:t>
                  </w:r>
                </w:p>
              </w:tc>
              <w:tc>
                <w:tcPr>
                  <w:tcW w:w="2921"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06" w:type="dxa"/>
                  <w:shd w:val="clear" w:color="auto" w:fill="auto"/>
                  <w:vAlign w:val="top"/>
                </w:tcPr>
                <w:p>
                  <w:pPr>
                    <w:spacing w:line="360" w:lineRule="auto"/>
                  </w:pPr>
                  <w:r>
                    <w:rPr>
                      <w:rFonts w:hint="eastAsia"/>
                      <w:szCs w:val="21"/>
                    </w:rPr>
                    <w:t>危险源整改率达</w:t>
                  </w:r>
                  <w:r>
                    <w:rPr>
                      <w:szCs w:val="21"/>
                    </w:rPr>
                    <w:t>100%</w:t>
                  </w:r>
                </w:p>
              </w:tc>
              <w:tc>
                <w:tcPr>
                  <w:tcW w:w="292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lang w:val="en-GB"/>
                    </w:rPr>
                  </w:pPr>
                  <w:r>
                    <w:rPr>
                      <w:rFonts w:hint="eastAsia"/>
                      <w:szCs w:val="21"/>
                    </w:rPr>
                    <w:t>危险源整改数/需整改总数x100%</w:t>
                  </w:r>
                </w:p>
              </w:tc>
              <w:tc>
                <w:tcPr>
                  <w:tcW w:w="1350" w:type="dxa"/>
                  <w:shd w:val="clear" w:color="auto" w:fill="auto"/>
                  <w:vAlign w:val="center"/>
                </w:tcPr>
                <w:p>
                  <w:pPr>
                    <w:rPr>
                      <w:rFonts w:hint="default" w:eastAsia="宋体"/>
                      <w:lang w:val="en-US" w:eastAsia="zh-CN"/>
                    </w:rPr>
                  </w:pPr>
                  <w:r>
                    <w:rPr>
                      <w:rFonts w:hint="eastAsia"/>
                      <w:lang w:val="en-US" w:eastAsia="zh-CN"/>
                    </w:rPr>
                    <w:t>综合部、工程部</w:t>
                  </w:r>
                </w:p>
              </w:tc>
              <w:tc>
                <w:tcPr>
                  <w:tcW w:w="1774" w:type="dxa"/>
                  <w:shd w:val="clear" w:color="auto" w:fill="auto"/>
                  <w:vAlign w:val="center"/>
                </w:tcPr>
                <w:p>
                  <w:pPr>
                    <w:jc w:val="center"/>
                    <w:rPr>
                      <w:rFonts w:ascii="宋体" w:hAnsi="宋体"/>
                      <w:lang w:val="en-GB"/>
                    </w:rPr>
                  </w:pPr>
                  <w:r>
                    <w:rPr>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color w:val="000000"/>
                      <w:szCs w:val="21"/>
                    </w:rPr>
                    <w:t>重伤率不超过0.6‰，轻伤人数单位工程控制</w:t>
                  </w:r>
                  <w:r>
                    <w:rPr>
                      <w:rFonts w:hint="eastAsia"/>
                      <w:color w:val="000000"/>
                      <w:szCs w:val="21"/>
                      <w:lang w:val="en-US" w:eastAsia="zh-CN"/>
                    </w:rPr>
                    <w:t>≤5次</w:t>
                  </w:r>
                </w:p>
              </w:tc>
              <w:tc>
                <w:tcPr>
                  <w:tcW w:w="2921" w:type="dxa"/>
                  <w:shd w:val="clear" w:color="auto" w:fill="auto"/>
                  <w:vAlign w:val="top"/>
                </w:tcPr>
                <w:p>
                  <w:pPr>
                    <w:spacing w:line="360" w:lineRule="auto"/>
                    <w:rPr>
                      <w:rFonts w:ascii="宋体" w:hAnsi="宋体"/>
                    </w:rPr>
                  </w:pPr>
                  <w:r>
                    <w:rPr>
                      <w:rFonts w:hint="eastAsia"/>
                      <w:szCs w:val="21"/>
                    </w:rPr>
                    <w:t>控制事故发生</w:t>
                  </w:r>
                </w:p>
              </w:tc>
              <w:tc>
                <w:tcPr>
                  <w:tcW w:w="1350" w:type="dxa"/>
                  <w:shd w:val="clear" w:color="auto" w:fill="auto"/>
                  <w:vAlign w:val="center"/>
                </w:tcPr>
                <w:p>
                  <w:pPr>
                    <w:rPr>
                      <w:rFonts w:ascii="宋体" w:hAnsi="宋体"/>
                    </w:rPr>
                  </w:pPr>
                  <w:r>
                    <w:rPr>
                      <w:rFonts w:hint="eastAsia"/>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3370</w:t>
            </w:r>
            <w:r>
              <w:rPr>
                <w:rFonts w:hint="eastAsia"/>
              </w:rPr>
              <w:t>平方米；生产车间个；库房个；实验室个；</w:t>
            </w:r>
          </w:p>
          <w:p>
            <w:pPr>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汽车吊、电焊机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sym w:font="Wingdings 2" w:char="0052"/>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p>
            <w:pPr>
              <w:rPr>
                <w:rFonts w:hint="default" w:eastAsia="宋体"/>
                <w:lang w:val="en-US" w:eastAsia="zh-CN"/>
              </w:rPr>
            </w:pPr>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r>
              <w:rPr>
                <w:rFonts w:hint="eastAsia"/>
                <w:lang w:eastAsia="zh-CN"/>
              </w:rPr>
              <w:t>，</w:t>
            </w:r>
            <w:r>
              <w:rPr>
                <w:rFonts w:hint="eastAsia"/>
                <w:lang w:val="en-US" w:eastAsia="zh-CN"/>
              </w:rPr>
              <w:t>未提供项目部</w:t>
            </w:r>
            <w:r>
              <w:rPr>
                <w:rFonts w:hint="eastAsia"/>
              </w:rPr>
              <w:t>员工三级安全教育</w:t>
            </w:r>
            <w:r>
              <w:rPr>
                <w:rFonts w:hint="eastAsia"/>
                <w:lang w:eastAsia="zh-CN"/>
              </w:rPr>
              <w:t>，</w:t>
            </w:r>
            <w:r>
              <w:rPr>
                <w:rFonts w:hint="eastAsia"/>
                <w:lang w:val="en-US" w:eastAsia="zh-CN"/>
              </w:rPr>
              <w:t>开具不符合1项。</w:t>
            </w:r>
            <w:bookmarkStart w:id="30" w:name="_GoBack"/>
            <w:bookmarkEnd w:id="30"/>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hint="default"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A3"/>
                  </w:r>
                  <w:r>
                    <w:rPr>
                      <w:rFonts w:hint="eastAsia"/>
                    </w:rPr>
                    <w:t>设置围堰□排风系统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jc w:val="left"/>
              <w:rPr>
                <w:rFonts w:hint="default" w:eastAsia="宋体"/>
                <w:lang w:val="en-US" w:eastAsia="zh-CN"/>
              </w:rPr>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default"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sym w:font="Wingdings 2" w:char="0052"/>
            </w:r>
            <w:r>
              <w:rPr>
                <w:rFonts w:hint="eastAsia"/>
              </w:rPr>
              <w:t>厂区和车间内布局</w:t>
            </w:r>
            <w:r>
              <w:rPr>
                <w:rFonts w:hint="eastAsia" w:ascii="Wingdings" w:hAnsi="Wingdings"/>
                <w:lang w:eastAsia="zh-CN"/>
              </w:rPr>
              <w:sym w:font="Wingdings 2" w:char="0052"/>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sym w:font="Wingdings 2" w:char="0052"/>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szCs w:val="21"/>
              </w:rPr>
              <w:t>20</w:t>
            </w:r>
            <w:r>
              <w:rPr>
                <w:rFonts w:hint="eastAsia"/>
                <w:szCs w:val="21"/>
              </w:rPr>
              <w:t>21</w:t>
            </w:r>
            <w:r>
              <w:rPr>
                <w:szCs w:val="21"/>
              </w:rPr>
              <w:t>年</w:t>
            </w:r>
            <w:r>
              <w:rPr>
                <w:rFonts w:hint="eastAsia"/>
                <w:szCs w:val="21"/>
              </w:rPr>
              <w:t>6月25</w:t>
            </w:r>
            <w:r>
              <w:rPr>
                <w:szCs w:val="21"/>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pPr>
              <w:rPr>
                <w:rFonts w:hint="eastAsia" w:eastAsia="宋体"/>
                <w:lang w:val="en-US" w:eastAsia="zh-CN"/>
              </w:rPr>
            </w:pPr>
            <w:r>
              <w:rPr>
                <w:rFonts w:hint="eastAsia"/>
              </w:rPr>
              <w:t>《职业病体检》编号：</w:t>
            </w:r>
            <w:r>
              <w:rPr>
                <w:rFonts w:hint="eastAsia"/>
                <w:lang w:val="en-US" w:eastAsia="zh-CN"/>
              </w:rPr>
              <w:t>提供</w:t>
            </w:r>
            <w:r>
              <w:rPr>
                <w:rFonts w:hint="default"/>
                <w:lang w:eastAsia="zh-CN"/>
              </w:rPr>
              <w:t>员工体检报告</w:t>
            </w:r>
            <w:r>
              <w:rPr>
                <w:rFonts w:hint="eastAsia"/>
              </w:rPr>
              <w:t>。</w:t>
            </w:r>
            <w:r>
              <w:rPr>
                <w:rFonts w:hint="default"/>
              </w:rPr>
              <w:t>202109040041</w:t>
            </w:r>
            <w:r>
              <w:rPr>
                <w:rFonts w:hint="eastAsia"/>
                <w:lang w:val="en-US" w:eastAsia="zh-CN"/>
              </w:rPr>
              <w:t>等</w:t>
            </w:r>
          </w:p>
          <w:p>
            <w:r>
              <w:rPr>
                <w:rFonts w:hint="eastAsia"/>
              </w:rPr>
              <w:t>《建筑消防检测报告》编号：。</w:t>
            </w:r>
          </w:p>
          <w:p>
            <w:r>
              <w:rPr>
                <w:rFonts w:hint="eastAsia"/>
              </w:rPr>
              <w:t>《防雷检测报告》编号：</w:t>
            </w:r>
            <w:r>
              <w:rPr>
                <w:rFonts w:hint="eastAsia"/>
                <w:lang w:val="en-US" w:eastAsia="zh-CN"/>
              </w:rPr>
              <w:t>不涉及</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4-5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sym w:font="Wingdings 2" w:char="00A3"/>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A3"/>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0B"/>
    <w:multiLevelType w:val="singleLevel"/>
    <w:tmpl w:val="000000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945F0D"/>
    <w:rsid w:val="07327589"/>
    <w:rsid w:val="0F8C3249"/>
    <w:rsid w:val="1EB952DD"/>
    <w:rsid w:val="20F16BFA"/>
    <w:rsid w:val="28090E52"/>
    <w:rsid w:val="2ACD01C8"/>
    <w:rsid w:val="37021484"/>
    <w:rsid w:val="3D196034"/>
    <w:rsid w:val="41263FC1"/>
    <w:rsid w:val="4C3B78EB"/>
    <w:rsid w:val="4FDE1B25"/>
    <w:rsid w:val="503D5BAC"/>
    <w:rsid w:val="50601FEB"/>
    <w:rsid w:val="55E66CA8"/>
    <w:rsid w:val="6D101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2021-12-01T15:01:23Z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