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7" w:name="_GoBack"/>
      <w:bookmarkEnd w:id="7"/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20"/>
        <w:gridCol w:w="941"/>
        <w:gridCol w:w="927"/>
        <w:gridCol w:w="1607"/>
        <w:gridCol w:w="2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91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中建城开环境建设有限公司</w:t>
            </w:r>
            <w:bookmarkEnd w:id="5"/>
          </w:p>
        </w:tc>
        <w:tc>
          <w:tcPr>
            <w:tcW w:w="160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EC：28.02.00;28.03.01;28.04.01;28.04.02;28.05.01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E：28.02.00;28.03.01;28.04.01;28.04.02;28.05.01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O：28.02.00;28.03.01;28.04.01;28.04.02;28.05.01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9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6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9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hAnsi="宋体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/>
                <w:b/>
                <w:bCs/>
                <w:sz w:val="21"/>
                <w:szCs w:val="21"/>
              </w:rPr>
              <w:t>房屋建筑：场地平整---定位放线---基础土方---基础垫层---基础钢筋---基础模板---基础砼---基础回填---主体钢筋---主体模板---主体砼---屋面施工---内外墙砌筑-----分部工程验收---单位工程竣工验收---单位工程合格交付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  <w:sz w:val="21"/>
                <w:szCs w:val="21"/>
              </w:rPr>
              <w:t>市政公用工程流程：签订合同—组建项目部—编制施工组织设计—组织施工—过程检验—分部分项验收—竣工验收—交付及交付后的活动。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3、公路工程：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测量放线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--土方开挖、回填--清淤--砂石垫层--砼预制块护坡--沥青填缝--竣工交验。</w:t>
            </w:r>
          </w:p>
          <w:p>
            <w:pPr>
              <w:snapToGrid w:val="0"/>
              <w:spacing w:line="280" w:lineRule="exact"/>
              <w:rPr>
                <w:rFonts w:hint="default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b/>
                <w:sz w:val="20"/>
              </w:rPr>
              <w:t>水利水电工程工艺流程：签订合同—组建项目部—编制施工组织设计—组织施工—过程检验—分部分项验收—竣工验收—交付及交付后的活动。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738" w:firstLineChars="350"/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钢筋焊接过程、砼浇筑、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  <w:t>防腐防水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控制方法：编制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施工组织设计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专项施工方案、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作业指导书、技术交底、现场培训、人员持证上岗施工过程平行检查、巡视旁站等。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738" w:firstLineChars="350"/>
              <w:rPr>
                <w:rFonts w:hint="eastAsia" w:ascii="宋体" w:hAnsi="宋体" w:cs="楷体_GB2312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噪音、固废、扬尘、有毒有害气体排放、潜在的火灾/爆炸等。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baseline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坍塌、物体打击、电伤害、有毒有害气体排放、火灾、爆炸、机械伤害等。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JGJ46-2005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施工现场临时用电安全技术规范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GB/T50326-2006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建设工程项目管理规范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GB50194-2014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建设工程施工现场供用电安全规范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GB/T50328-2014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建设工程文件归档整理规范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GB50092-96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沥青路面施工及验收规范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DBJ50-078-2008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城市道路工程施工质量验收规范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7J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JTG F40-2004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公路沥青路面施工技术规范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J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JTGF10-2006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公路路基施工技术规范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、《防洪标准》（GB50201-2014）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、《水利水电工程等级划分及洪水标准》（SL252-2017）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、《水利水电工程等级划分及洪水标准》（SL252-2017）、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、《建筑抗震设计规范》（GB50011-2010）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进场构配件验收</w:t>
            </w:r>
            <w:r>
              <w:rPr>
                <w:rFonts w:hint="eastAsia"/>
                <w:b/>
                <w:bCs/>
                <w:sz w:val="21"/>
                <w:szCs w:val="21"/>
              </w:rPr>
              <w:t>检验外观、数量、合格证。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闭水试验等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带肋钢筋、水泥、混凝土</w:t>
            </w:r>
            <w:r>
              <w:rPr>
                <w:rFonts w:hint="eastAsia"/>
                <w:b/>
                <w:bCs/>
                <w:sz w:val="21"/>
                <w:szCs w:val="21"/>
              </w:rPr>
              <w:t>型式试验要求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提供第三方检测报告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1、工程项目内容是否在企业资质范围内；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2、建设工程项目开工须获取建设单位提供的开工许可；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rPr>
                <w:rFonts w:hint="eastAsia" w:hAnsi="宋体" w:cs="楷体_GB2312"/>
                <w:b/>
                <w:bCs/>
                <w:sz w:val="21"/>
                <w:szCs w:val="21"/>
              </w:rPr>
            </w:pP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3、工程使用的材料、设备需进场验收并记录；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rPr>
                <w:b/>
                <w:sz w:val="20"/>
              </w:rPr>
            </w:pP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4、</w:t>
            </w:r>
            <w:r>
              <w:rPr>
                <w:rFonts w:hint="eastAsia" w:hAnsi="宋体" w:cs="楷体_GB2312"/>
                <w:b/>
                <w:bCs/>
                <w:sz w:val="21"/>
                <w:szCs w:val="21"/>
                <w:lang w:val="en-GB"/>
              </w:rPr>
              <w:t>工程中的隐蔽工程部位应由业主或监理检查验收并记录</w:t>
            </w:r>
            <w:r>
              <w:rPr>
                <w:rFonts w:hint="eastAsia" w:hAnsi="宋体" w:cs="楷体_GB2312"/>
                <w:b/>
                <w:bCs/>
                <w:sz w:val="21"/>
                <w:szCs w:val="21"/>
              </w:rPr>
              <w:t>；</w:t>
            </w:r>
            <w:r>
              <w:rPr>
                <w:rFonts w:hint="eastAsia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64770</wp:posOffset>
                  </wp:positionV>
                  <wp:extent cx="440690" cy="339725"/>
                  <wp:effectExtent l="0" t="0" r="16510" b="3175"/>
                  <wp:wrapNone/>
                  <wp:docPr id="1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-793115</wp:posOffset>
                  </wp:positionH>
                  <wp:positionV relativeFrom="paragraph">
                    <wp:posOffset>351155</wp:posOffset>
                  </wp:positionV>
                  <wp:extent cx="440690" cy="339725"/>
                  <wp:effectExtent l="0" t="0" r="16510" b="3175"/>
                  <wp:wrapNone/>
                  <wp:docPr id="4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4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7853045</wp:posOffset>
                  </wp:positionV>
                  <wp:extent cx="440690" cy="339725"/>
                  <wp:effectExtent l="0" t="0" r="16510" b="3175"/>
                  <wp:wrapNone/>
                  <wp:docPr id="3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4069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6755130</wp:posOffset>
                  </wp:positionV>
                  <wp:extent cx="642620" cy="305435"/>
                  <wp:effectExtent l="0" t="0" r="5080" b="18415"/>
                  <wp:wrapNone/>
                  <wp:docPr id="2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6426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rPr>
          <w:rFonts w:ascii="宋体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AAAD45"/>
    <w:multiLevelType w:val="singleLevel"/>
    <w:tmpl w:val="F8AAAD45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5D3B44"/>
    <w:rsid w:val="69F01598"/>
    <w:rsid w:val="76AB643D"/>
    <w:rsid w:val="7B3C1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2021-11-15T06:15:51Z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