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spacing w:line="480" w:lineRule="exact"/>
        <w:jc w:val="center"/>
        <w:rPr>
          <w:rFonts w:hint="eastAsia"/>
          <w:color w:val="auto"/>
        </w:rPr>
      </w:pPr>
      <w:r>
        <w:rPr>
          <w:rFonts w:hint="eastAsia" w:ascii="隶书" w:hAnsi="宋体" w:eastAsia="隶书"/>
          <w:bCs/>
          <w:color w:val="auto"/>
          <w:sz w:val="36"/>
          <w:szCs w:val="36"/>
        </w:rPr>
        <w:t>管理体系审核记录表</w:t>
      </w:r>
      <w:r>
        <w:rPr>
          <w:rFonts w:hint="eastAsia" w:ascii="隶书" w:hAnsi="宋体" w:eastAsia="隶书"/>
          <w:bCs/>
          <w:color w:val="auto"/>
          <w:sz w:val="36"/>
          <w:szCs w:val="36"/>
          <w:lang w:val="en-US" w:eastAsia="zh-CN"/>
        </w:rPr>
        <w:t>3</w:t>
      </w:r>
    </w:p>
    <w:p>
      <w:pPr>
        <w:pStyle w:val="9"/>
        <w:rPr>
          <w:rFonts w:hint="eastAsia"/>
          <w:color w:val="auto"/>
        </w:rPr>
      </w:pP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11358"/>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6" w:type="dxa"/>
            <w:vMerge w:val="restart"/>
            <w:vAlign w:val="center"/>
          </w:tcPr>
          <w:p>
            <w:pPr>
              <w:spacing w:before="120" w:line="360" w:lineRule="auto"/>
              <w:jc w:val="center"/>
              <w:rPr>
                <w:color w:val="auto"/>
                <w:szCs w:val="21"/>
              </w:rPr>
            </w:pPr>
            <w:r>
              <w:rPr>
                <w:rFonts w:hint="eastAsia"/>
                <w:color w:val="auto"/>
                <w:szCs w:val="21"/>
              </w:rPr>
              <w:t>过程与活动、</w:t>
            </w:r>
          </w:p>
          <w:p>
            <w:pPr>
              <w:spacing w:line="360" w:lineRule="auto"/>
              <w:jc w:val="center"/>
              <w:rPr>
                <w:rFonts w:asciiTheme="minorEastAsia" w:hAnsiTheme="minorEastAsia" w:eastAsiaTheme="minorEastAsia" w:cstheme="minorEastAsia"/>
                <w:color w:val="auto"/>
                <w:szCs w:val="21"/>
              </w:rPr>
            </w:pPr>
            <w:r>
              <w:rPr>
                <w:rFonts w:hint="eastAsia"/>
                <w:color w:val="auto"/>
                <w:szCs w:val="21"/>
              </w:rPr>
              <w:t>抽样计划</w:t>
            </w:r>
          </w:p>
        </w:tc>
        <w:tc>
          <w:tcPr>
            <w:tcW w:w="1276" w:type="dxa"/>
            <w:vMerge w:val="restart"/>
            <w:vAlign w:val="center"/>
          </w:tcPr>
          <w:p>
            <w:pPr>
              <w:spacing w:line="360" w:lineRule="auto"/>
              <w:rPr>
                <w:color w:val="auto"/>
                <w:szCs w:val="21"/>
              </w:rPr>
            </w:pPr>
            <w:r>
              <w:rPr>
                <w:rFonts w:hint="eastAsia"/>
                <w:color w:val="auto"/>
                <w:szCs w:val="21"/>
              </w:rPr>
              <w:t>涉及</w:t>
            </w:r>
          </w:p>
          <w:p>
            <w:pPr>
              <w:spacing w:line="360" w:lineRule="auto"/>
              <w:rPr>
                <w:rFonts w:asciiTheme="minorEastAsia" w:hAnsiTheme="minorEastAsia" w:eastAsiaTheme="minorEastAsia" w:cstheme="minorEastAsia"/>
                <w:color w:val="auto"/>
                <w:szCs w:val="21"/>
              </w:rPr>
            </w:pPr>
            <w:r>
              <w:rPr>
                <w:rFonts w:hint="eastAsia"/>
                <w:color w:val="auto"/>
                <w:szCs w:val="21"/>
              </w:rPr>
              <w:t>条款</w:t>
            </w:r>
          </w:p>
        </w:tc>
        <w:tc>
          <w:tcPr>
            <w:tcW w:w="11358" w:type="dxa"/>
            <w:vAlign w:val="center"/>
          </w:tcPr>
          <w:p>
            <w:pPr>
              <w:spacing w:line="360" w:lineRule="auto"/>
              <w:rPr>
                <w:color w:val="auto"/>
                <w:szCs w:val="21"/>
              </w:rPr>
            </w:pPr>
            <w:r>
              <w:rPr>
                <w:rFonts w:hint="eastAsia"/>
                <w:color w:val="auto"/>
              </w:rPr>
              <w:t>受审核部门：</w:t>
            </w:r>
            <w:r>
              <w:rPr>
                <w:rFonts w:hint="eastAsia" w:asciiTheme="minorEastAsia" w:hAnsiTheme="minorEastAsia" w:eastAsiaTheme="minorEastAsia" w:cstheme="minorEastAsia"/>
                <w:b w:val="0"/>
                <w:bCs w:val="0"/>
                <w:sz w:val="21"/>
                <w:szCs w:val="21"/>
              </w:rPr>
              <w:t>工程部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质安部</w:t>
            </w:r>
            <w:r>
              <w:rPr>
                <w:rFonts w:hint="eastAsia"/>
                <w:color w:val="auto"/>
              </w:rPr>
              <w:t xml:space="preserve">    主管领导-</w:t>
            </w:r>
            <w:r>
              <w:rPr>
                <w:rFonts w:hint="eastAsia"/>
                <w:color w:val="auto"/>
                <w:lang w:val="en-US" w:eastAsia="zh-CN"/>
              </w:rPr>
              <w:t xml:space="preserve">  </w:t>
            </w:r>
            <w:r>
              <w:rPr>
                <w:rFonts w:hint="eastAsia" w:ascii="宋体" w:hAnsi="宋体" w:cs="宋体"/>
                <w:color w:val="auto"/>
                <w:kern w:val="0"/>
                <w:sz w:val="21"/>
                <w:szCs w:val="21"/>
                <w:lang w:bidi="ar"/>
              </w:rPr>
              <w:t>徐龙国</w:t>
            </w:r>
            <w:r>
              <w:rPr>
                <w:rFonts w:hint="eastAsia"/>
                <w:color w:val="auto"/>
              </w:rPr>
              <w:t xml:space="preserve">            陪同人员：</w:t>
            </w:r>
            <w:r>
              <w:rPr>
                <w:rFonts w:hint="eastAsia" w:ascii="宋体" w:hAnsi="宋体"/>
                <w:color w:val="auto"/>
                <w:sz w:val="21"/>
                <w:szCs w:val="21"/>
              </w:rPr>
              <w:t>胡剑萍</w:t>
            </w:r>
          </w:p>
        </w:tc>
        <w:tc>
          <w:tcPr>
            <w:tcW w:w="549" w:type="dxa"/>
            <w:vMerge w:val="restart"/>
            <w:vAlign w:val="center"/>
          </w:tcPr>
          <w:p>
            <w:pPr>
              <w:spacing w:line="360" w:lineRule="auto"/>
              <w:rPr>
                <w:rFonts w:asciiTheme="minorEastAsia" w:hAnsiTheme="minorEastAsia" w:eastAsiaTheme="minorEastAsia" w:cstheme="minorEastAsia"/>
                <w:color w:val="auto"/>
                <w:szCs w:val="21"/>
              </w:rPr>
            </w:pPr>
            <w:r>
              <w:rPr>
                <w:rFonts w:hint="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Merge w:val="continue"/>
            <w:vAlign w:val="center"/>
          </w:tcPr>
          <w:p>
            <w:pPr>
              <w:spacing w:line="360" w:lineRule="auto"/>
              <w:rPr>
                <w:rFonts w:asciiTheme="minorEastAsia" w:hAnsiTheme="minorEastAsia" w:eastAsiaTheme="minorEastAsia" w:cstheme="minorEastAsia"/>
                <w:color w:val="auto"/>
                <w:szCs w:val="21"/>
              </w:rPr>
            </w:pPr>
          </w:p>
        </w:tc>
        <w:tc>
          <w:tcPr>
            <w:tcW w:w="1276" w:type="dxa"/>
            <w:vMerge w:val="continue"/>
            <w:vAlign w:val="center"/>
          </w:tcPr>
          <w:p>
            <w:pPr>
              <w:spacing w:line="360" w:lineRule="auto"/>
              <w:rPr>
                <w:rFonts w:asciiTheme="minorEastAsia" w:hAnsiTheme="minorEastAsia" w:eastAsiaTheme="minorEastAsia" w:cstheme="minorEastAsia"/>
                <w:color w:val="auto"/>
                <w:szCs w:val="21"/>
              </w:rPr>
            </w:pPr>
          </w:p>
        </w:tc>
        <w:tc>
          <w:tcPr>
            <w:tcW w:w="11358" w:type="dxa"/>
            <w:vAlign w:val="center"/>
          </w:tcPr>
          <w:p>
            <w:pPr>
              <w:spacing w:line="360" w:lineRule="auto"/>
              <w:rPr>
                <w:rFonts w:asciiTheme="minorEastAsia" w:hAnsiTheme="minorEastAsia" w:eastAsiaTheme="minorEastAsia" w:cstheme="minorEastAsia"/>
                <w:color w:val="auto"/>
                <w:szCs w:val="21"/>
              </w:rPr>
            </w:pPr>
            <w:r>
              <w:rPr>
                <w:rFonts w:hint="eastAsia"/>
                <w:color w:val="auto"/>
                <w:szCs w:val="21"/>
              </w:rPr>
              <w:t>审核员：</w:t>
            </w:r>
            <w:r>
              <w:rPr>
                <w:rFonts w:hint="eastAsia"/>
                <w:color w:val="auto"/>
                <w:szCs w:val="21"/>
                <w:lang w:val="en-US" w:eastAsia="zh-CN"/>
              </w:rPr>
              <w:t>李凤仪</w:t>
            </w:r>
            <w:r>
              <w:rPr>
                <w:rFonts w:hint="eastAsia"/>
                <w:color w:val="auto"/>
                <w:szCs w:val="21"/>
              </w:rPr>
              <w:t xml:space="preserve">    审核时间：202</w:t>
            </w:r>
            <w:r>
              <w:rPr>
                <w:rFonts w:hint="eastAsia"/>
                <w:color w:val="auto"/>
                <w:szCs w:val="21"/>
                <w:lang w:val="en-US" w:eastAsia="zh-CN"/>
              </w:rPr>
              <w:t>1</w:t>
            </w:r>
            <w:r>
              <w:rPr>
                <w:rFonts w:hint="eastAsia"/>
                <w:color w:val="auto"/>
                <w:szCs w:val="21"/>
              </w:rPr>
              <w:t>年1</w:t>
            </w:r>
            <w:r>
              <w:rPr>
                <w:rFonts w:hint="eastAsia"/>
                <w:color w:val="auto"/>
                <w:szCs w:val="21"/>
                <w:lang w:val="en-US" w:eastAsia="zh-CN"/>
              </w:rPr>
              <w:t>1</w:t>
            </w:r>
            <w:r>
              <w:rPr>
                <w:rFonts w:hint="eastAsia"/>
                <w:color w:val="auto"/>
                <w:szCs w:val="21"/>
              </w:rPr>
              <w:t>月</w:t>
            </w:r>
            <w:r>
              <w:rPr>
                <w:rFonts w:hint="eastAsia"/>
                <w:color w:val="auto"/>
                <w:szCs w:val="21"/>
                <w:lang w:val="en-US" w:eastAsia="zh-CN"/>
              </w:rPr>
              <w:t>20</w:t>
            </w:r>
            <w:bookmarkStart w:id="1" w:name="_GoBack"/>
            <w:bookmarkEnd w:id="1"/>
            <w:r>
              <w:rPr>
                <w:rFonts w:hint="eastAsia"/>
                <w:color w:val="auto"/>
                <w:szCs w:val="21"/>
              </w:rPr>
              <w:t xml:space="preserve">日 </w:t>
            </w:r>
          </w:p>
        </w:tc>
        <w:tc>
          <w:tcPr>
            <w:tcW w:w="549" w:type="dxa"/>
            <w:vMerge w:val="continue"/>
          </w:tcPr>
          <w:p>
            <w:pPr>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6" w:type="dxa"/>
            <w:vMerge w:val="continue"/>
            <w:vAlign w:val="center"/>
          </w:tcPr>
          <w:p>
            <w:pPr>
              <w:spacing w:line="360" w:lineRule="auto"/>
              <w:rPr>
                <w:rFonts w:asciiTheme="minorEastAsia" w:hAnsiTheme="minorEastAsia" w:eastAsiaTheme="minorEastAsia" w:cstheme="minorEastAsia"/>
                <w:color w:val="auto"/>
                <w:szCs w:val="21"/>
              </w:rPr>
            </w:pPr>
          </w:p>
        </w:tc>
        <w:tc>
          <w:tcPr>
            <w:tcW w:w="1276" w:type="dxa"/>
            <w:vMerge w:val="continue"/>
            <w:vAlign w:val="center"/>
          </w:tcPr>
          <w:p>
            <w:pPr>
              <w:spacing w:line="360" w:lineRule="auto"/>
              <w:rPr>
                <w:rFonts w:asciiTheme="minorEastAsia" w:hAnsiTheme="minorEastAsia" w:eastAsiaTheme="minorEastAsia" w:cstheme="minorEastAsia"/>
                <w:color w:val="auto"/>
                <w:szCs w:val="21"/>
              </w:rPr>
            </w:pPr>
          </w:p>
        </w:tc>
        <w:tc>
          <w:tcPr>
            <w:tcW w:w="11358" w:type="dxa"/>
            <w:vAlign w:val="center"/>
          </w:tcPr>
          <w:p>
            <w:pPr>
              <w:spacing w:line="360" w:lineRule="auto"/>
              <w:rPr>
                <w:color w:val="auto"/>
                <w:szCs w:val="21"/>
              </w:rPr>
            </w:pPr>
            <w:r>
              <w:rPr>
                <w:rFonts w:hint="eastAsia"/>
                <w:color w:val="auto"/>
                <w:szCs w:val="21"/>
              </w:rPr>
              <w:t>审核条款：</w:t>
            </w:r>
          </w:p>
          <w:p>
            <w:pPr>
              <w:spacing w:line="2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Q5.3/6.2/7.1.3/7.1.4/7.1.5/8.1/8.5/8.6/8.7     J4.3/3.2.3/7/9/10/11/12.5</w:t>
            </w:r>
          </w:p>
        </w:tc>
        <w:tc>
          <w:tcPr>
            <w:tcW w:w="549" w:type="dxa"/>
            <w:vMerge w:val="continue"/>
          </w:tcPr>
          <w:p>
            <w:pPr>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26"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部门职责</w:t>
            </w:r>
          </w:p>
          <w:p>
            <w:pPr>
              <w:spacing w:line="360" w:lineRule="auto"/>
              <w:rPr>
                <w:rFonts w:asciiTheme="minorEastAsia" w:hAnsiTheme="minorEastAsia" w:eastAsiaTheme="minorEastAsia" w:cstheme="minorEastAsia"/>
                <w:color w:val="auto"/>
                <w:szCs w:val="21"/>
              </w:rPr>
            </w:pPr>
          </w:p>
        </w:tc>
        <w:tc>
          <w:tcPr>
            <w:tcW w:w="1276"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QEO5.3</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J4.3</w:t>
            </w:r>
          </w:p>
        </w:tc>
        <w:tc>
          <w:tcPr>
            <w:tcW w:w="11358" w:type="dxa"/>
          </w:tcPr>
          <w:p>
            <w:pPr>
              <w:spacing w:line="360" w:lineRule="auto"/>
              <w:rPr>
                <w:rFonts w:hint="default" w:ascii="宋体" w:hAnsi="宋体" w:eastAsia="宋体" w:cs="宋体"/>
                <w:color w:val="auto"/>
                <w:kern w:val="0"/>
                <w:sz w:val="21"/>
                <w:szCs w:val="21"/>
                <w:lang w:val="en-US" w:eastAsia="zh-CN" w:bidi="ar"/>
              </w:rPr>
            </w:pPr>
            <w:r>
              <w:rPr>
                <w:rFonts w:hint="eastAsia" w:asciiTheme="minorEastAsia" w:hAnsiTheme="minorEastAsia" w:eastAsiaTheme="minorEastAsia" w:cstheme="minorEastAsia"/>
                <w:color w:val="auto"/>
                <w:szCs w:val="21"/>
              </w:rPr>
              <w:t>工程部负责人：</w:t>
            </w:r>
            <w:r>
              <w:rPr>
                <w:rFonts w:hint="eastAsia" w:ascii="宋体" w:hAnsi="宋体" w:cs="宋体"/>
                <w:color w:val="auto"/>
                <w:kern w:val="0"/>
                <w:sz w:val="21"/>
                <w:szCs w:val="21"/>
                <w:lang w:bidi="ar"/>
              </w:rPr>
              <w:t>徐龙国</w:t>
            </w:r>
            <w:r>
              <w:rPr>
                <w:rFonts w:hint="eastAsia" w:ascii="宋体" w:hAnsi="宋体" w:cs="宋体"/>
                <w:color w:val="auto"/>
                <w:kern w:val="0"/>
                <w:sz w:val="21"/>
                <w:szCs w:val="21"/>
                <w:lang w:val="en-US" w:eastAsia="zh-CN" w:bidi="ar"/>
              </w:rPr>
              <w:t xml:space="preserve"> 项目经理：陈建辉</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sym w:font="Wingdings 2" w:char="F098"/>
            </w:r>
            <w:r>
              <w:rPr>
                <w:rFonts w:hint="eastAsia" w:asciiTheme="minorEastAsia" w:hAnsiTheme="minorEastAsia" w:eastAsiaTheme="minorEastAsia" w:cstheme="minorEastAsia"/>
                <w:color w:val="auto"/>
                <w:szCs w:val="21"/>
              </w:rPr>
              <w:t xml:space="preserve">负责人介绍了本部门的职责主要包括：公司施工机具及计量设备管理工作，审批施工策划结果（如施工组织、专项施工方案），积极参加图纸会审、工程洽商，监督施工质量、成本、进度及安全文明施工状况，施工相关法律法规及标准规范、负责审核采购计划等内容。 </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sym w:font="Wingdings 2" w:char="F098"/>
            </w:r>
            <w:r>
              <w:rPr>
                <w:rFonts w:hint="eastAsia" w:asciiTheme="minorEastAsia" w:hAnsiTheme="minorEastAsia" w:eastAsiaTheme="minorEastAsia" w:cstheme="minorEastAsia"/>
                <w:color w:val="auto"/>
                <w:szCs w:val="21"/>
              </w:rPr>
              <w:t>公司管理手册5.3条款对工程部职责的规定，李部长的介绍与公司文件规定基本一致。</w:t>
            </w:r>
          </w:p>
        </w:tc>
        <w:tc>
          <w:tcPr>
            <w:tcW w:w="549" w:type="dxa"/>
          </w:tcPr>
          <w:p>
            <w:pPr>
              <w:spacing w:line="360" w:lineRule="auto"/>
              <w:rPr>
                <w:rFonts w:asciiTheme="minorEastAsia" w:hAnsiTheme="minorEastAsia" w:eastAsiaTheme="minorEastAsia" w:cstheme="minorEastAsia"/>
                <w:color w:val="auto"/>
                <w:szCs w:val="21"/>
              </w:rPr>
            </w:pPr>
            <w:r>
              <w:rPr>
                <w:rFonts w:hint="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目标和管理方案</w:t>
            </w:r>
          </w:p>
          <w:p>
            <w:pPr>
              <w:spacing w:line="360" w:lineRule="auto"/>
              <w:rPr>
                <w:rFonts w:asciiTheme="minorEastAsia" w:hAnsiTheme="minorEastAsia" w:eastAsiaTheme="minorEastAsia" w:cstheme="minorEastAsia"/>
                <w:color w:val="auto"/>
                <w:szCs w:val="21"/>
              </w:rPr>
            </w:pPr>
          </w:p>
        </w:tc>
        <w:tc>
          <w:tcPr>
            <w:tcW w:w="1276"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J3.2.3</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3.2.4</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QEO 6.2</w:t>
            </w:r>
          </w:p>
          <w:p>
            <w:pPr>
              <w:spacing w:line="360" w:lineRule="auto"/>
              <w:rPr>
                <w:rFonts w:asciiTheme="minorEastAsia" w:hAnsiTheme="minorEastAsia" w:eastAsiaTheme="minorEastAsia" w:cstheme="minorEastAsia"/>
                <w:color w:val="auto"/>
                <w:spacing w:val="-17"/>
                <w:szCs w:val="21"/>
              </w:rPr>
            </w:pPr>
          </w:p>
        </w:tc>
        <w:tc>
          <w:tcPr>
            <w:tcW w:w="11358" w:type="dxa"/>
          </w:tcPr>
          <w:p>
            <w:pPr>
              <w:spacing w:line="360" w:lineRule="auto"/>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sym w:font="Wingdings 2" w:char="F098"/>
            </w:r>
            <w:r>
              <w:rPr>
                <w:rFonts w:hint="eastAsia" w:asciiTheme="minorEastAsia" w:hAnsiTheme="minorEastAsia" w:eastAsiaTheme="minorEastAsia" w:cstheme="minorEastAsia"/>
                <w:color w:val="auto"/>
                <w:spacing w:val="6"/>
                <w:szCs w:val="21"/>
                <w:highlight w:val="none"/>
              </w:rPr>
              <w:t>根据公司目标分解到工程部的质量目标如下：</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单项工程一次交验合格率100%</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分项分部工程-次交验合格率&gt;98%</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确保检测仪器100%经过检定、校准;</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施工噪声:投诉率为0</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固体废弃物分类处置率100%6</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火灾、触电事故为零</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危险源整改率达100%</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特殊工种持证上岗100%</w:t>
            </w:r>
          </w:p>
          <w:p>
            <w:pPr>
              <w:pStyle w:val="2"/>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无重大机械事故</w:t>
            </w:r>
          </w:p>
          <w:p>
            <w:pPr>
              <w:pStyle w:val="2"/>
              <w:spacing w:line="360" w:lineRule="auto"/>
              <w:rPr>
                <w:rFonts w:hint="eastAsia" w:asciiTheme="minorEastAsia" w:hAnsiTheme="minorEastAsia" w:eastAsiaTheme="minorEastAsia" w:cstheme="minorEastAsia"/>
                <w:color w:val="auto"/>
                <w:szCs w:val="21"/>
                <w:highlight w:val="yellow"/>
              </w:rPr>
            </w:pPr>
            <w:r>
              <w:rPr>
                <w:rFonts w:hint="eastAsia" w:asciiTheme="minorEastAsia" w:hAnsiTheme="minorEastAsia" w:eastAsiaTheme="minorEastAsia" w:cstheme="minorEastAsia"/>
                <w:color w:val="auto"/>
                <w:szCs w:val="21"/>
                <w:highlight w:val="none"/>
              </w:rPr>
              <w:t>重伤率不超过0.6%，轻伤事故率单位工程控制&lt;5次;</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查环境、安全的方案的达成：</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重要环境因素\部门\过程或活动   </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环境影响</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控制方式</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项目部切割、安装、焊接过程产生的噪声。</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噪声污染</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目标指标控制</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项目部的施工过程火灾、爆炸的发生。</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大气污染</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文件控制/应急</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项目部施工污水排放</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水污染</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目标指标控制</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办公场所、项目部施工过程的用水用电</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资源消耗</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目标指标控制</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办公过程中硒鼓、墨盒的遗弃。</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土地污染</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目标指标控制</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风险因素</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 xml:space="preserve">           可导致的事故</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控制/应急</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违章操作、防护缺陷</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 xml:space="preserve">   机械伤害、触 电     目标指标控制，日常检查</w:t>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违章操作</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机械伤害、坠落       目标指标控制，日常检查，相关方施加影响</w:t>
            </w:r>
            <w:r>
              <w:rPr>
                <w:rFonts w:hint="eastAsia" w:asciiTheme="minorEastAsia" w:hAnsiTheme="minorEastAsia" w:eastAsiaTheme="minorEastAsia" w:cstheme="minorEastAsia"/>
                <w:color w:val="auto"/>
                <w:szCs w:val="21"/>
                <w:highlight w:val="none"/>
              </w:rPr>
              <w:tab/>
            </w:r>
          </w:p>
          <w:p>
            <w:pPr>
              <w:pStyle w:val="2"/>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防护缺陷、机械风险、 高处坠落、机械伤害 文件控制，目标指标控制，日常检查</w:t>
            </w:r>
          </w:p>
          <w:p>
            <w:pPr>
              <w:pStyle w:val="2"/>
              <w:spacing w:line="360" w:lineRule="auto"/>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消防/设施/防护缺陷</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火灾、爆炸、触电</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应急，日常检查，相关方施加影响</w:t>
            </w:r>
          </w:p>
          <w:p>
            <w:pPr>
              <w:spacing w:line="360" w:lineRule="auto"/>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查看了《目标完成情况分析表》，经查工程部管理目标，2020年</w:t>
            </w:r>
            <w:r>
              <w:rPr>
                <w:rFonts w:hint="eastAsia" w:asciiTheme="minorEastAsia" w:hAnsiTheme="minorEastAsia" w:eastAsiaTheme="minorEastAsia" w:cstheme="minorEastAsia"/>
                <w:color w:val="auto"/>
                <w:spacing w:val="6"/>
                <w:szCs w:val="21"/>
                <w:highlight w:val="none"/>
                <w:lang w:val="en-US" w:eastAsia="zh-CN"/>
              </w:rPr>
              <w:t>10</w:t>
            </w:r>
            <w:r>
              <w:rPr>
                <w:rFonts w:hint="eastAsia" w:asciiTheme="minorEastAsia" w:hAnsiTheme="minorEastAsia" w:eastAsiaTheme="minorEastAsia" w:cstheme="minorEastAsia"/>
                <w:color w:val="auto"/>
                <w:spacing w:val="6"/>
                <w:szCs w:val="21"/>
                <w:highlight w:val="none"/>
              </w:rPr>
              <w:t>月</w:t>
            </w:r>
            <w:r>
              <w:rPr>
                <w:rFonts w:hint="eastAsia" w:asciiTheme="minorEastAsia" w:hAnsiTheme="minorEastAsia" w:eastAsiaTheme="minorEastAsia" w:cstheme="minorEastAsia"/>
                <w:color w:val="auto"/>
                <w:spacing w:val="6"/>
                <w:szCs w:val="21"/>
                <w:highlight w:val="none"/>
                <w:lang w:val="en-US" w:eastAsia="zh-CN"/>
              </w:rPr>
              <w:t>2</w:t>
            </w:r>
            <w:r>
              <w:rPr>
                <w:rFonts w:hint="eastAsia" w:asciiTheme="minorEastAsia" w:hAnsiTheme="minorEastAsia" w:eastAsiaTheme="minorEastAsia" w:cstheme="minorEastAsia"/>
                <w:color w:val="auto"/>
                <w:spacing w:val="6"/>
                <w:szCs w:val="21"/>
                <w:highlight w:val="none"/>
              </w:rPr>
              <w:t>0日目标指标均已完成。</w:t>
            </w:r>
          </w:p>
          <w:p>
            <w:pPr>
              <w:spacing w:line="360" w:lineRule="auto"/>
              <w:rPr>
                <w:rFonts w:asciiTheme="minorEastAsia" w:hAnsiTheme="minorEastAsia" w:eastAsiaTheme="minorEastAsia" w:cstheme="minorEastAsia"/>
                <w:color w:val="auto"/>
                <w:spacing w:val="6"/>
                <w:szCs w:val="21"/>
                <w:highlight w:val="yellow"/>
              </w:rPr>
            </w:pPr>
            <w:r>
              <w:rPr>
                <w:rFonts w:hint="eastAsia" w:asciiTheme="minorEastAsia" w:hAnsiTheme="minorEastAsia" w:eastAsiaTheme="minorEastAsia" w:cstheme="minorEastAsia"/>
                <w:color w:val="auto"/>
                <w:spacing w:val="6"/>
                <w:szCs w:val="21"/>
                <w:highlight w:val="none"/>
              </w:rPr>
              <w:t>目标和指标有可测量性并与方针保持一致，方案的制定满足要求。</w:t>
            </w:r>
          </w:p>
        </w:tc>
        <w:tc>
          <w:tcPr>
            <w:tcW w:w="549" w:type="dxa"/>
          </w:tcPr>
          <w:p>
            <w:pPr>
              <w:spacing w:line="360" w:lineRule="auto"/>
              <w:rPr>
                <w:rFonts w:asciiTheme="minorEastAsia" w:hAnsiTheme="minorEastAsia" w:eastAsiaTheme="minorEastAsia" w:cstheme="minorEastAsia"/>
                <w:color w:val="auto"/>
                <w:szCs w:val="21"/>
              </w:rPr>
            </w:pPr>
            <w:r>
              <w:rPr>
                <w:rFonts w:hint="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526" w:type="dxa"/>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基础设施控制情况</w:t>
            </w:r>
          </w:p>
          <w:p>
            <w:pPr>
              <w:spacing w:line="360" w:lineRule="auto"/>
              <w:rPr>
                <w:rFonts w:asciiTheme="minorEastAsia" w:hAnsiTheme="minorEastAsia" w:eastAsiaTheme="minorEastAsia" w:cstheme="minorEastAsia"/>
                <w:color w:val="auto"/>
                <w:szCs w:val="21"/>
                <w:highlight w:val="none"/>
              </w:rPr>
            </w:pPr>
          </w:p>
        </w:tc>
        <w:tc>
          <w:tcPr>
            <w:tcW w:w="1276" w:type="dxa"/>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J7.1-7.4</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Q7.1.3</w:t>
            </w:r>
          </w:p>
          <w:p>
            <w:pPr>
              <w:spacing w:line="360" w:lineRule="auto"/>
              <w:rPr>
                <w:rFonts w:asciiTheme="minorEastAsia" w:hAnsiTheme="minorEastAsia" w:eastAsiaTheme="minorEastAsia" w:cstheme="minorEastAsia"/>
                <w:color w:val="auto"/>
                <w:szCs w:val="21"/>
                <w:highlight w:val="none"/>
              </w:rPr>
            </w:pPr>
          </w:p>
          <w:p>
            <w:pPr>
              <w:spacing w:line="360" w:lineRule="auto"/>
              <w:rPr>
                <w:rFonts w:asciiTheme="minorEastAsia" w:hAnsiTheme="minorEastAsia" w:eastAsiaTheme="minorEastAsia" w:cstheme="minorEastAsia"/>
                <w:color w:val="auto"/>
                <w:szCs w:val="21"/>
                <w:highlight w:val="none"/>
              </w:rPr>
            </w:pPr>
          </w:p>
          <w:p>
            <w:pPr>
              <w:spacing w:line="360" w:lineRule="auto"/>
              <w:rPr>
                <w:rFonts w:asciiTheme="minorEastAsia" w:hAnsiTheme="minorEastAsia" w:eastAsiaTheme="minorEastAsia" w:cstheme="minorEastAsia"/>
                <w:color w:val="auto"/>
                <w:spacing w:val="-17"/>
                <w:szCs w:val="21"/>
                <w:highlight w:val="none"/>
              </w:rPr>
            </w:pPr>
          </w:p>
        </w:tc>
        <w:tc>
          <w:tcPr>
            <w:tcW w:w="11358" w:type="dxa"/>
          </w:tcPr>
          <w:p>
            <w:pPr>
              <w:spacing w:line="36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建立了基础设施控制程序、计量器具控制程序等，包涵了施工设备设施管理制度，对施工设备设施的配备、安装、拆除与验收、使用与维护等做了详细规定，明确了相关职责，符合要求。</w:t>
            </w:r>
          </w:p>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宋体" w:hAnsi="宋体" w:cs="宋体"/>
                <w:color w:val="auto"/>
                <w:szCs w:val="21"/>
                <w:highlight w:val="none"/>
              </w:rPr>
              <w:t>环保设施包括：垃圾桶、灭火器；安全设施配置主要有：围栏、标识牌、灭火器、消防器材等。</w:t>
            </w:r>
          </w:p>
          <w:p>
            <w:pPr>
              <w:spacing w:line="360" w:lineRule="auto"/>
              <w:ind w:firstLine="420"/>
              <w:rPr>
                <w:rFonts w:asciiTheme="minorEastAsia" w:hAnsiTheme="minorEastAsia" w:eastAsiaTheme="minorEastAsia" w:cstheme="minorEastAsia"/>
                <w:color w:val="auto"/>
                <w:szCs w:val="21"/>
                <w:highlight w:val="none"/>
              </w:rPr>
            </w:pPr>
            <w:r>
              <w:rPr>
                <w:rFonts w:hint="eastAsia" w:ascii="宋体" w:hAnsi="宋体" w:cs="宋体"/>
                <w:bCs/>
                <w:color w:val="auto"/>
                <w:szCs w:val="21"/>
                <w:highlight w:val="none"/>
              </w:rPr>
              <w:t>查到“机械设备、器具进场验收表”，内容包括机械单位、机械名称、技术状况、整改情况、检验意见等，抽查了</w:t>
            </w:r>
            <w:r>
              <w:rPr>
                <w:rFonts w:hint="eastAsia"/>
                <w:color w:val="auto"/>
                <w:highlight w:val="none"/>
                <w:lang w:val="en-US" w:eastAsia="zh-CN"/>
              </w:rPr>
              <w:t>挖掘机、压路机、自卸汽车、装载机、全钻仪、水平仪</w:t>
            </w:r>
            <w:r>
              <w:rPr>
                <w:rFonts w:hint="eastAsia" w:ascii="宋体" w:hAnsi="宋体" w:cs="宋体"/>
                <w:bCs/>
                <w:color w:val="auto"/>
                <w:szCs w:val="21"/>
                <w:highlight w:val="none"/>
              </w:rPr>
              <w:t>等设备验收记录。目前基础设施设备良好，满足工作要求。</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sym w:font="Wingdings 2" w:char="F098"/>
            </w:r>
            <w:r>
              <w:rPr>
                <w:rFonts w:hint="eastAsia" w:asciiTheme="minorEastAsia" w:hAnsiTheme="minorEastAsia" w:eastAsiaTheme="minorEastAsia" w:cstheme="minorEastAsia"/>
                <w:color w:val="auto"/>
                <w:szCs w:val="21"/>
                <w:highlight w:val="none"/>
              </w:rPr>
              <w:t>施工机具进场前由工程服务部安全管理人员检修保养，确保其完好状态；项目使用中由项目部使用人员定期维修保养。</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项目部制定有《设施检修计划》，有设备名称及计划保养时间、保养内容等；</w:t>
            </w:r>
          </w:p>
          <w:p>
            <w:pPr>
              <w:spacing w:line="36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规定了各种设备的维护保养内容及保养时间；基本</w:t>
            </w:r>
            <w:r>
              <w:rPr>
                <w:rFonts w:hint="eastAsia" w:asciiTheme="minorEastAsia" w:hAnsiTheme="minorEastAsia" w:eastAsiaTheme="minorEastAsia" w:cstheme="minorEastAsia"/>
                <w:color w:val="auto"/>
                <w:szCs w:val="21"/>
                <w:highlight w:val="none"/>
                <w:lang w:val="zh-CN"/>
              </w:rPr>
              <w:t>符合要求</w:t>
            </w:r>
          </w:p>
          <w:p>
            <w:pPr>
              <w:spacing w:line="360" w:lineRule="auto"/>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提供了《设施日常保养检修表》数份；</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w:t>
            </w:r>
            <w:r>
              <w:rPr>
                <w:rFonts w:hint="eastAsia"/>
                <w:color w:val="auto"/>
                <w:highlight w:val="none"/>
              </w:rPr>
              <w:t>光纤熔接机</w:t>
            </w:r>
            <w:r>
              <w:rPr>
                <w:rFonts w:hint="eastAsia" w:asciiTheme="minorEastAsia" w:hAnsiTheme="minorEastAsia" w:eastAsiaTheme="minorEastAsia" w:cstheme="minorEastAsia"/>
                <w:color w:val="auto"/>
                <w:szCs w:val="21"/>
                <w:highlight w:val="none"/>
              </w:rPr>
              <w:t>的维保记录，维保内容有：日常维保主要是对设备运动部件的润滑，表面清洁、运行情况确认等，</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lang w:val="zh-CN"/>
              </w:rPr>
              <w:t>工程服务部部定期对各项目部施工机具的使用情况进行监督检查，避免出现违规情况，预防事故</w:t>
            </w:r>
            <w:r>
              <w:rPr>
                <w:rFonts w:hint="eastAsia" w:asciiTheme="minorEastAsia" w:hAnsiTheme="minorEastAsia" w:eastAsiaTheme="minorEastAsia" w:cstheme="minorEastAsia"/>
                <w:color w:val="auto"/>
                <w:szCs w:val="21"/>
                <w:highlight w:val="none"/>
              </w:rPr>
              <w:t>等。</w:t>
            </w:r>
          </w:p>
        </w:tc>
        <w:tc>
          <w:tcPr>
            <w:tcW w:w="549" w:type="dxa"/>
          </w:tcPr>
          <w:p>
            <w:pPr>
              <w:spacing w:line="360" w:lineRule="auto"/>
              <w:rPr>
                <w:rFonts w:asciiTheme="minorEastAsia" w:hAnsiTheme="minorEastAsia" w:eastAsiaTheme="minorEastAsia" w:cstheme="minorEastAsia"/>
                <w:color w:val="auto"/>
                <w:szCs w:val="21"/>
              </w:rPr>
            </w:pPr>
            <w:r>
              <w:rPr>
                <w:rFonts w:hint="eastAsia"/>
                <w:color w:val="auto"/>
                <w:szCs w:val="21"/>
              </w:rPr>
              <w:t>OK</w:t>
            </w: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6" w:type="dxa"/>
          </w:tcPr>
          <w:p>
            <w:pPr>
              <w:tabs>
                <w:tab w:val="left" w:pos="7380"/>
              </w:tabs>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查对施工环境的控制情况？</w:t>
            </w:r>
          </w:p>
          <w:p>
            <w:pPr>
              <w:tabs>
                <w:tab w:val="left" w:pos="7380"/>
              </w:tabs>
              <w:spacing w:line="360" w:lineRule="auto"/>
              <w:rPr>
                <w:rFonts w:asciiTheme="minorEastAsia" w:hAnsiTheme="minorEastAsia" w:eastAsiaTheme="minorEastAsia" w:cstheme="minorEastAsia"/>
                <w:b/>
                <w:color w:val="auto"/>
                <w:szCs w:val="21"/>
                <w:highlight w:val="none"/>
              </w:rPr>
            </w:pPr>
          </w:p>
        </w:tc>
        <w:tc>
          <w:tcPr>
            <w:tcW w:w="1276" w:type="dxa"/>
          </w:tcPr>
          <w:p>
            <w:pPr>
              <w:tabs>
                <w:tab w:val="left" w:pos="7380"/>
              </w:tabs>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Q7.1.4</w:t>
            </w:r>
          </w:p>
          <w:p>
            <w:pPr>
              <w:tabs>
                <w:tab w:val="left" w:pos="7380"/>
              </w:tabs>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J10.5.1</w:t>
            </w:r>
          </w:p>
          <w:p>
            <w:pPr>
              <w:tabs>
                <w:tab w:val="left" w:pos="7380"/>
              </w:tabs>
              <w:spacing w:line="360" w:lineRule="auto"/>
              <w:rPr>
                <w:rFonts w:asciiTheme="minorEastAsia" w:hAnsiTheme="minorEastAsia" w:eastAsiaTheme="minorEastAsia" w:cstheme="minorEastAsia"/>
                <w:b/>
                <w:color w:val="auto"/>
                <w:szCs w:val="21"/>
                <w:highlight w:val="none"/>
              </w:rPr>
            </w:pPr>
          </w:p>
        </w:tc>
        <w:tc>
          <w:tcPr>
            <w:tcW w:w="11358" w:type="dxa"/>
          </w:tcPr>
          <w:p>
            <w:pPr>
              <w:autoSpaceDE w:val="0"/>
              <w:autoSpaceDN w:val="0"/>
              <w:adjustRightInd w:val="0"/>
              <w:snapToGrid w:val="0"/>
              <w:spacing w:line="360" w:lineRule="auto"/>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sym w:font="Wingdings 2" w:char="F098"/>
            </w:r>
            <w:r>
              <w:rPr>
                <w:rFonts w:hint="eastAsia" w:asciiTheme="minorEastAsia" w:hAnsiTheme="minorEastAsia" w:eastAsiaTheme="minorEastAsia" w:cstheme="minorEastAsia"/>
                <w:color w:val="auto"/>
                <w:spacing w:val="6"/>
                <w:szCs w:val="21"/>
                <w:highlight w:val="none"/>
              </w:rPr>
              <w:t>管理手册7.1.4中，对组织办公环境及施工作业环境和人文环境管理和控制做了规定。</w:t>
            </w:r>
          </w:p>
          <w:p>
            <w:pPr>
              <w:autoSpaceDE w:val="0"/>
              <w:autoSpaceDN w:val="0"/>
              <w:adjustRightInd w:val="0"/>
              <w:snapToGrid w:val="0"/>
              <w:spacing w:line="360" w:lineRule="auto"/>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sym w:font="Wingdings 2" w:char="F098"/>
            </w:r>
            <w:r>
              <w:rPr>
                <w:rFonts w:hint="eastAsia" w:asciiTheme="minorEastAsia" w:hAnsiTheme="minorEastAsia" w:eastAsiaTheme="minorEastAsia" w:cstheme="minorEastAsia"/>
                <w:color w:val="auto"/>
                <w:spacing w:val="6"/>
                <w:szCs w:val="21"/>
                <w:highlight w:val="none"/>
              </w:rPr>
              <w:t>办公区环境的维护，光线充足、温度适宜，配有绿植、暖气、饮水机等，办公环境满足要求。</w:t>
            </w:r>
          </w:p>
          <w:p>
            <w:pPr>
              <w:autoSpaceDE w:val="0"/>
              <w:autoSpaceDN w:val="0"/>
              <w:adjustRightInd w:val="0"/>
              <w:snapToGrid w:val="0"/>
              <w:spacing w:line="360" w:lineRule="auto"/>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各项目部负责对施工作业环境实施</w:t>
            </w:r>
            <w:r>
              <w:rPr>
                <w:rFonts w:hint="eastAsia" w:asciiTheme="minorEastAsia" w:hAnsiTheme="minorEastAsia" w:eastAsiaTheme="minorEastAsia" w:cstheme="minorEastAsia"/>
                <w:color w:val="auto"/>
                <w:spacing w:val="6"/>
                <w:szCs w:val="21"/>
                <w:highlight w:val="none"/>
              </w:rPr>
              <w:t>管理。对施工现场办公、生活环境要求：安全适用，卫生健康，整洁舒适；对施工场地设施设备、各类原材料及半成品堆放布置要求井然有序；推行现场文明施工；制定冬雨季施工制定技术措施,做好冬季“四防”和夏季“四防”工作等。</w:t>
            </w:r>
          </w:p>
          <w:p>
            <w:pPr>
              <w:autoSpaceDE w:val="0"/>
              <w:autoSpaceDN w:val="0"/>
              <w:adjustRightInd w:val="0"/>
              <w:snapToGrid w:val="0"/>
              <w:spacing w:line="360" w:lineRule="auto"/>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sym w:font="Wingdings 2" w:char="F098"/>
            </w:r>
            <w:r>
              <w:rPr>
                <w:rFonts w:hint="eastAsia" w:asciiTheme="minorEastAsia" w:hAnsiTheme="minorEastAsia" w:eastAsiaTheme="minorEastAsia" w:cstheme="minorEastAsia"/>
                <w:color w:val="auto"/>
                <w:spacing w:val="6"/>
                <w:szCs w:val="21"/>
                <w:highlight w:val="none"/>
              </w:rPr>
              <w:t>办公室关注公司从业人员的心里因素及所处社会环境的变化，包括：地域环境、社会环境的变化；各部门管理人员应充分关注各级从业人员心里因素的异常变化，掌握公司员工相关因素的反馈信息，必要时制定相关措施。</w:t>
            </w:r>
          </w:p>
          <w:p>
            <w:pPr>
              <w:autoSpaceDE w:val="0"/>
              <w:autoSpaceDN w:val="0"/>
              <w:adjustRightInd w:val="0"/>
              <w:snapToGrid w:val="0"/>
              <w:spacing w:line="360" w:lineRule="auto"/>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sym w:font="Wingdings 2" w:char="F098"/>
            </w:r>
            <w:r>
              <w:rPr>
                <w:rFonts w:hint="eastAsia" w:asciiTheme="minorEastAsia" w:hAnsiTheme="minorEastAsia" w:eastAsiaTheme="minorEastAsia" w:cstheme="minorEastAsia"/>
                <w:color w:val="auto"/>
                <w:spacing w:val="6"/>
                <w:szCs w:val="21"/>
                <w:highlight w:val="none"/>
              </w:rPr>
              <w:t>项目部在施工组织设计、施工方案的编制审批时考虑这些因素，定期检查过程运行环境提供和保持情况，提出改进指导意见；项目部负责实施过程运行环境的提供和保持。</w:t>
            </w:r>
          </w:p>
          <w:p>
            <w:pPr>
              <w:autoSpaceDE w:val="0"/>
              <w:autoSpaceDN w:val="0"/>
              <w:adjustRightInd w:val="0"/>
              <w:snapToGrid w:val="0"/>
              <w:spacing w:line="360" w:lineRule="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sym w:font="Wingdings 2" w:char="F098"/>
            </w:r>
            <w:r>
              <w:rPr>
                <w:rFonts w:hint="eastAsia" w:asciiTheme="minorEastAsia" w:hAnsiTheme="minorEastAsia" w:eastAsiaTheme="minorEastAsia" w:cstheme="minorEastAsia"/>
                <w:bCs/>
                <w:color w:val="auto"/>
                <w:szCs w:val="21"/>
                <w:highlight w:val="none"/>
              </w:rPr>
              <w:t>现场观察基本符合要求。</w:t>
            </w:r>
          </w:p>
        </w:tc>
        <w:tc>
          <w:tcPr>
            <w:tcW w:w="549" w:type="dxa"/>
          </w:tcPr>
          <w:p>
            <w:pPr>
              <w:spacing w:line="360" w:lineRule="auto"/>
              <w:rPr>
                <w:rFonts w:asciiTheme="minorEastAsia" w:hAnsiTheme="minorEastAsia" w:eastAsiaTheme="minorEastAsia" w:cstheme="minorEastAsia"/>
                <w:color w:val="auto"/>
                <w:szCs w:val="21"/>
              </w:rPr>
            </w:pPr>
            <w:r>
              <w:rPr>
                <w:rFonts w:hint="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526" w:type="dxa"/>
          </w:tcPr>
          <w:p>
            <w:pPr>
              <w:tabs>
                <w:tab w:val="left" w:pos="7380"/>
              </w:tabs>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监视和测量资源</w:t>
            </w:r>
          </w:p>
          <w:p>
            <w:pPr>
              <w:spacing w:line="360" w:lineRule="auto"/>
              <w:rPr>
                <w:rFonts w:asciiTheme="minorEastAsia" w:hAnsiTheme="minorEastAsia" w:eastAsiaTheme="minorEastAsia" w:cstheme="minorEastAsia"/>
                <w:color w:val="auto"/>
                <w:szCs w:val="21"/>
                <w:highlight w:val="none"/>
              </w:rPr>
            </w:pPr>
          </w:p>
        </w:tc>
        <w:tc>
          <w:tcPr>
            <w:tcW w:w="1276" w:type="dxa"/>
          </w:tcPr>
          <w:p>
            <w:pPr>
              <w:tabs>
                <w:tab w:val="left" w:pos="7380"/>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J11.4</w:t>
            </w:r>
          </w:p>
          <w:p>
            <w:pPr>
              <w:tabs>
                <w:tab w:val="left" w:pos="7380"/>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Q7.1.5</w:t>
            </w:r>
          </w:p>
          <w:p>
            <w:pPr>
              <w:tabs>
                <w:tab w:val="left" w:pos="7380"/>
              </w:tabs>
              <w:spacing w:line="360" w:lineRule="auto"/>
              <w:rPr>
                <w:rFonts w:asciiTheme="minorEastAsia" w:hAnsiTheme="minorEastAsia" w:eastAsiaTheme="minorEastAsia" w:cstheme="minorEastAsia"/>
                <w:color w:val="auto"/>
                <w:szCs w:val="21"/>
                <w:highlight w:val="none"/>
              </w:rPr>
            </w:pPr>
          </w:p>
        </w:tc>
        <w:tc>
          <w:tcPr>
            <w:tcW w:w="11358" w:type="dxa"/>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工程部按照《管理手册》第7.1.5条内容对公司现有的监视和测量设备进行维护、管理。</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负责人介绍：对设备的使用、管理人员进行了培训，</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现在无设备失准情况；</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查新购测量设备：暂无</w:t>
            </w:r>
          </w:p>
          <w:p>
            <w:pPr>
              <w:spacing w:line="360" w:lineRule="auto"/>
              <w:rPr>
                <w:color w:val="auto"/>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查租赁测量设备：无</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暂无需确认的监视测量软件。</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w:t>
            </w:r>
            <w:r>
              <w:rPr>
                <w:rFonts w:hint="eastAsia" w:asciiTheme="minorEastAsia" w:hAnsiTheme="minorEastAsia" w:eastAsiaTheme="minorEastAsia" w:cstheme="minorEastAsia"/>
                <w:color w:val="auto"/>
                <w:szCs w:val="21"/>
                <w:highlight w:val="none"/>
                <w:lang w:val="en-US" w:eastAsia="zh-CN"/>
              </w:rPr>
              <w:t>校准</w:t>
            </w:r>
            <w:r>
              <w:rPr>
                <w:rFonts w:hint="eastAsia" w:asciiTheme="minorEastAsia" w:hAnsiTheme="minorEastAsia" w:eastAsiaTheme="minorEastAsia" w:cstheme="minorEastAsia"/>
                <w:color w:val="auto"/>
                <w:szCs w:val="21"/>
                <w:highlight w:val="none"/>
              </w:rPr>
              <w:t>证书：</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全站仪：ZD202010160310检验日期：2020.10.16</w:t>
            </w:r>
          </w:p>
          <w:p>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自动安平水准仪：ZD202010160309检验日期：2020.10.16</w:t>
            </w:r>
            <w:r>
              <w:rPr>
                <w:color w:val="auto"/>
                <w:highlight w:val="none"/>
              </w:rPr>
              <w:t xml:space="preserve"> </w:t>
            </w:r>
          </w:p>
          <w:p>
            <w:pPr>
              <w:pStyle w:val="2"/>
              <w:rPr>
                <w:rFonts w:asciiTheme="minorEastAsia" w:hAnsiTheme="minorEastAsia" w:eastAsiaTheme="minorEastAsia" w:cstheme="minorEastAsia"/>
                <w:color w:val="auto"/>
                <w:szCs w:val="21"/>
                <w:highlight w:val="none"/>
              </w:rPr>
            </w:pPr>
            <w:r>
              <w:rPr>
                <w:rFonts w:hint="eastAsia"/>
                <w:color w:val="auto"/>
              </w:rPr>
              <w:t>检定机构：深圳中电计量测试技术有限公司</w:t>
            </w:r>
          </w:p>
        </w:tc>
        <w:tc>
          <w:tcPr>
            <w:tcW w:w="549" w:type="dxa"/>
          </w:tcPr>
          <w:p>
            <w:pPr>
              <w:spacing w:line="360" w:lineRule="auto"/>
              <w:rPr>
                <w:rFonts w:asciiTheme="minorEastAsia" w:hAnsiTheme="minorEastAsia" w:eastAsiaTheme="minorEastAsia" w:cstheme="minorEastAsia"/>
                <w:color w:val="auto"/>
                <w:szCs w:val="21"/>
              </w:rPr>
            </w:pPr>
            <w:r>
              <w:rPr>
                <w:rFonts w:hint="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526" w:type="dxa"/>
          </w:tcPr>
          <w:p>
            <w:pPr>
              <w:tabs>
                <w:tab w:val="left" w:pos="7380"/>
              </w:tabs>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查工程的策划情况？</w:t>
            </w:r>
          </w:p>
          <w:p>
            <w:pPr>
              <w:tabs>
                <w:tab w:val="left" w:pos="7380"/>
              </w:tabs>
              <w:spacing w:line="360" w:lineRule="auto"/>
              <w:rPr>
                <w:rFonts w:asciiTheme="minorEastAsia" w:hAnsiTheme="minorEastAsia" w:eastAsiaTheme="minorEastAsia" w:cstheme="minorEastAsia"/>
                <w:b/>
                <w:color w:val="auto"/>
                <w:szCs w:val="21"/>
                <w:highlight w:val="none"/>
              </w:rPr>
            </w:pPr>
          </w:p>
        </w:tc>
        <w:tc>
          <w:tcPr>
            <w:tcW w:w="1276" w:type="dxa"/>
          </w:tcPr>
          <w:p>
            <w:pPr>
              <w:tabs>
                <w:tab w:val="left" w:pos="7380"/>
              </w:tabs>
              <w:spacing w:line="360" w:lineRule="auto"/>
              <w:rPr>
                <w:color w:val="auto"/>
                <w:highlight w:val="none"/>
              </w:rPr>
            </w:pPr>
            <w:r>
              <w:rPr>
                <w:rFonts w:hint="eastAsia"/>
                <w:color w:val="auto"/>
                <w:highlight w:val="none"/>
              </w:rPr>
              <w:t>J10.1-10.2</w:t>
            </w:r>
          </w:p>
          <w:p>
            <w:pPr>
              <w:tabs>
                <w:tab w:val="left" w:pos="7380"/>
              </w:tabs>
              <w:spacing w:line="360" w:lineRule="auto"/>
              <w:rPr>
                <w:color w:val="auto"/>
                <w:highlight w:val="none"/>
              </w:rPr>
            </w:pPr>
            <w:r>
              <w:rPr>
                <w:rFonts w:hint="eastAsia"/>
                <w:color w:val="auto"/>
                <w:highlight w:val="none"/>
              </w:rPr>
              <w:t>Q8.1</w:t>
            </w:r>
          </w:p>
          <w:p>
            <w:pPr>
              <w:pStyle w:val="2"/>
              <w:spacing w:line="360" w:lineRule="auto"/>
              <w:rPr>
                <w:color w:val="auto"/>
                <w:highlight w:val="none"/>
              </w:rPr>
            </w:pPr>
          </w:p>
        </w:tc>
        <w:tc>
          <w:tcPr>
            <w:tcW w:w="11358" w:type="dxa"/>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制定了《工程质量管理程序》，包涵了规范要求的工程项目质量管理制度，对工程项目质量管理策划、施工组织设计、施工准备、过程控制、变更控制和交付与服务做出规定。</w:t>
            </w:r>
          </w:p>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通过与工程服务部负责人交谈了解到，工程服务部负责对建筑智能化工程的施工（仅限资质范围内）的策划工作，项目部派人参与。确定项目所需活动，对工程项目进行策划，策划的结果体现在具体施工项目的专项施工方案中，经专家论证，完善方案，专项施工方案经建设方、总包方、监理方、公司技术负责人签字后方可实施。</w:t>
            </w:r>
          </w:p>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2、工程项目策划的内容有：</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1）质量目标——工程质量目标。</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2）项目质量管理组织机构和职责——公司工程管理、项目部管理的组织机构与职责。</w:t>
            </w:r>
          </w:p>
          <w:p>
            <w:pPr>
              <w:spacing w:line="360" w:lineRule="auto"/>
              <w:ind w:firstLine="525" w:firstLineChars="2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3）工程项目质量管理的依据：</w:t>
            </w:r>
          </w:p>
          <w:p>
            <w:pPr>
              <w:spacing w:line="360" w:lineRule="auto"/>
              <w:rPr>
                <w:rFonts w:hint="default" w:ascii="宋体" w:hAnsi="宋体" w:eastAsia="宋体"/>
                <w:color w:val="auto"/>
                <w:sz w:val="21"/>
                <w:szCs w:val="21"/>
                <w:lang w:val="en-US" w:eastAsia="zh-CN"/>
              </w:rPr>
            </w:pPr>
            <w:r>
              <w:rPr>
                <w:rFonts w:hint="eastAsia" w:ascii="宋体" w:hAnsi="宋体"/>
                <w:color w:val="auto"/>
                <w:sz w:val="21"/>
                <w:szCs w:val="21"/>
              </w:rPr>
              <w:t>房屋建筑工程和市政基础设施工程竣工验收备案管理暂行办法</w:t>
            </w:r>
            <w:r>
              <w:rPr>
                <w:rFonts w:hint="eastAsia" w:ascii="宋体" w:hAnsi="宋体"/>
                <w:color w:val="auto"/>
                <w:sz w:val="21"/>
                <w:szCs w:val="21"/>
                <w:lang w:val="en-US" w:eastAsia="zh-CN"/>
              </w:rPr>
              <w:t xml:space="preserve">  </w:t>
            </w:r>
            <w:r>
              <w:rPr>
                <w:rFonts w:hint="eastAsia" w:ascii="宋体" w:hAnsi="宋体"/>
                <w:color w:val="auto"/>
                <w:sz w:val="21"/>
                <w:szCs w:val="21"/>
              </w:rPr>
              <w:t>建设部令第78号</w:t>
            </w:r>
          </w:p>
          <w:p>
            <w:pPr>
              <w:spacing w:line="360" w:lineRule="auto"/>
              <w:rPr>
                <w:rFonts w:hint="default" w:eastAsia="宋体" w:asciiTheme="minorEastAsia" w:hAnsiTheme="minorEastAsia" w:cstheme="minorEastAsia"/>
                <w:color w:val="auto"/>
                <w:sz w:val="21"/>
                <w:szCs w:val="21"/>
                <w:highlight w:val="none"/>
                <w:lang w:val="en-US" w:eastAsia="zh-CN"/>
              </w:rPr>
            </w:pPr>
            <w:r>
              <w:rPr>
                <w:rFonts w:hint="eastAsia" w:ascii="宋体" w:hAnsi="宋体"/>
                <w:color w:val="auto"/>
                <w:sz w:val="21"/>
                <w:szCs w:val="21"/>
              </w:rPr>
              <w:t>房屋建筑工程和市政基础设施工程竣工验收暂行规定</w:t>
            </w:r>
            <w:r>
              <w:rPr>
                <w:rFonts w:hint="eastAsia" w:ascii="宋体" w:hAnsi="宋体"/>
                <w:color w:val="auto"/>
                <w:sz w:val="21"/>
                <w:szCs w:val="21"/>
                <w:lang w:val="en-US" w:eastAsia="zh-CN"/>
              </w:rPr>
              <w:t xml:space="preserve">   </w:t>
            </w:r>
            <w:r>
              <w:rPr>
                <w:rFonts w:hint="eastAsia" w:ascii="Arial" w:hAnsi="Arial" w:eastAsia="宋体" w:cs="Arial"/>
                <w:i w:val="0"/>
                <w:caps w:val="0"/>
                <w:color w:val="auto"/>
                <w:spacing w:val="0"/>
                <w:sz w:val="21"/>
                <w:szCs w:val="21"/>
                <w:shd w:val="clear" w:color="auto" w:fill="FFFFFF"/>
              </w:rPr>
              <w:t>（建质〔2013〕171号）</w:t>
            </w:r>
          </w:p>
          <w:p>
            <w:pPr>
              <w:spacing w:line="360" w:lineRule="auto"/>
              <w:rPr>
                <w:rFonts w:hint="eastAsia" w:ascii="宋体" w:hAnsi="宋体"/>
                <w:color w:val="auto"/>
                <w:sz w:val="21"/>
                <w:szCs w:val="21"/>
              </w:rPr>
            </w:pPr>
            <w:r>
              <w:rPr>
                <w:rFonts w:hint="eastAsia" w:ascii="宋体" w:hAnsi="宋体"/>
                <w:color w:val="auto"/>
                <w:sz w:val="21"/>
                <w:szCs w:val="21"/>
              </w:rPr>
              <w:t>房屋建筑工程和市政基础设施工程实行见证取样和送检的规定</w:t>
            </w:r>
            <w:r>
              <w:rPr>
                <w:rFonts w:hint="eastAsia" w:ascii="宋体" w:hAnsi="宋体"/>
                <w:color w:val="auto"/>
                <w:sz w:val="21"/>
                <w:szCs w:val="21"/>
                <w:lang w:val="en-US" w:eastAsia="zh-CN"/>
              </w:rPr>
              <w:t xml:space="preserve">  </w:t>
            </w:r>
            <w:r>
              <w:rPr>
                <w:rFonts w:hint="eastAsia" w:ascii="宋体" w:hAnsi="宋体"/>
                <w:color w:val="auto"/>
                <w:sz w:val="21"/>
                <w:szCs w:val="21"/>
              </w:rPr>
              <w:t>建建[2000]211号</w:t>
            </w:r>
          </w:p>
          <w:p>
            <w:pPr>
              <w:spacing w:line="360" w:lineRule="auto"/>
              <w:rPr>
                <w:rFonts w:hint="default"/>
                <w:color w:val="auto"/>
                <w:lang w:val="en-US" w:eastAsia="zh-CN"/>
              </w:rPr>
            </w:pPr>
            <w:r>
              <w:rPr>
                <w:rFonts w:hint="eastAsia" w:ascii="宋体" w:hAnsi="宋体"/>
                <w:color w:val="auto"/>
                <w:sz w:val="21"/>
                <w:szCs w:val="21"/>
              </w:rPr>
              <w:t>房屋建筑工程和市政基础设施工程竣工验收备案管理暂行办法</w:t>
            </w:r>
            <w:r>
              <w:rPr>
                <w:rFonts w:hint="eastAsia" w:ascii="宋体" w:hAnsi="宋体"/>
                <w:color w:val="auto"/>
                <w:sz w:val="21"/>
                <w:szCs w:val="21"/>
                <w:lang w:val="en-US" w:eastAsia="zh-CN"/>
              </w:rPr>
              <w:t xml:space="preserve">  </w:t>
            </w:r>
            <w:r>
              <w:rPr>
                <w:rFonts w:hint="eastAsia" w:ascii="宋体" w:hAnsi="宋体"/>
                <w:color w:val="auto"/>
                <w:sz w:val="21"/>
                <w:szCs w:val="21"/>
              </w:rPr>
              <w:t>江西省建设厅</w:t>
            </w:r>
          </w:p>
          <w:p>
            <w:pPr>
              <w:spacing w:line="360" w:lineRule="auto"/>
              <w:rPr>
                <w:rFonts w:hint="eastAsia" w:ascii="宋体" w:hAnsi="宋体"/>
                <w:color w:val="auto"/>
                <w:sz w:val="21"/>
                <w:szCs w:val="21"/>
              </w:rPr>
            </w:pPr>
            <w:r>
              <w:rPr>
                <w:rFonts w:hint="eastAsia" w:ascii="宋体" w:hAnsi="宋体"/>
                <w:color w:val="auto"/>
                <w:sz w:val="21"/>
                <w:szCs w:val="21"/>
              </w:rPr>
              <w:t>建筑给水排水及采暖工程施工质量验收规范</w:t>
            </w:r>
            <w:r>
              <w:rPr>
                <w:rFonts w:hint="eastAsia" w:ascii="宋体" w:hAnsi="宋体"/>
                <w:color w:val="auto"/>
                <w:sz w:val="21"/>
                <w:szCs w:val="21"/>
                <w:lang w:val="en-US" w:eastAsia="zh-CN"/>
              </w:rPr>
              <w:t xml:space="preserve">   </w:t>
            </w:r>
            <w:r>
              <w:rPr>
                <w:rFonts w:hint="eastAsia" w:ascii="宋体" w:hAnsi="宋体"/>
                <w:color w:val="auto"/>
                <w:sz w:val="21"/>
                <w:szCs w:val="21"/>
              </w:rPr>
              <w:t>GB 50242-2002</w:t>
            </w:r>
          </w:p>
          <w:p>
            <w:pPr>
              <w:rPr>
                <w:rFonts w:hint="default"/>
                <w:color w:val="auto"/>
                <w:lang w:val="en-US" w:eastAsia="zh-CN"/>
              </w:rPr>
            </w:pPr>
            <w:r>
              <w:rPr>
                <w:rFonts w:hint="eastAsia" w:ascii="Times New Roman" w:hAnsi="Times New Roman" w:eastAsia="宋体" w:cs="宋体"/>
                <w:color w:val="auto"/>
                <w:kern w:val="2"/>
                <w:sz w:val="21"/>
                <w:szCs w:val="21"/>
                <w:lang w:val="en-US" w:eastAsia="zh-CN" w:bidi="ar-SA"/>
              </w:rPr>
              <w:t>体育建筑设计规范JGJ31-2003；《合成材料跑道面层》GB/T 14833-2011；《中华人民共和国塑胶跑道标准》GB/T 14833-93；《公路沥青路面设计规范》（JTG D50-2017）</w:t>
            </w:r>
            <w:r>
              <w:rPr>
                <w:rFonts w:hint="eastAsia" w:ascii="宋体" w:hAnsi="宋体" w:cs="宋体"/>
                <w:color w:val="auto"/>
                <w:szCs w:val="21"/>
              </w:rPr>
              <w:t>等，为有效版本。</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依据验收交付规范、合同、相关标准、用户要求等进行接收。等等</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4）影响工程质量因素和相关设计、施工工艺及施工活动分析；还包括施工现场平面布置与安排。</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5）人员、技术、施工机具及设施资源的需求和配置。</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6）进度计划及偏差控制措施。</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7）施工技术措施和采用新技术、新工艺、新材料、新设备的专项方法。</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8）专项施工方案、施工质量检查和验收计划。</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9）质量问题及违规事件的报告和处理。</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10）突发事件的应急处置。</w:t>
            </w:r>
          </w:p>
          <w:p>
            <w:pPr>
              <w:spacing w:line="360" w:lineRule="auto"/>
              <w:ind w:left="899" w:leftChars="228" w:hanging="420" w:hanging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11）信息、记录及传递要求——包括项目实施过程中，要求形成材料设备检验、分部/分项/检验批质量验收记录等。</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12）与工程建设相关方的沟通、协调方式。</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13）应对风险和机遇的专项措施。</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14）质量控制措施。</w:t>
            </w:r>
          </w:p>
          <w:p>
            <w:pPr>
              <w:spacing w:line="360" w:lineRule="auto"/>
              <w:ind w:firstLine="48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15）工程施工其他要求——公司自主的质量管理要求，如创优工程、文明工程等。</w:t>
            </w:r>
          </w:p>
          <w:p>
            <w:pPr>
              <w:spacing w:line="360" w:lineRule="auto"/>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3、工程部根据合同要求和项目具体情况，把策划的结果编制成专项施工方案</w:t>
            </w:r>
            <w:r>
              <w:rPr>
                <w:rFonts w:hint="eastAsia" w:asciiTheme="minorEastAsia" w:hAnsiTheme="minorEastAsia" w:eastAsiaTheme="minorEastAsia" w:cstheme="minorEastAsia"/>
                <w:bCs/>
                <w:color w:val="auto"/>
                <w:szCs w:val="21"/>
                <w:highlight w:val="none"/>
              </w:rPr>
              <w:t>，经专家论证，修改完善，经专家签字确认，再经发包方、监理方、总包方、企业技术负责人审批后实施。</w:t>
            </w:r>
          </w:p>
          <w:p>
            <w:pPr>
              <w:spacing w:line="360" w:lineRule="auto"/>
              <w:rPr>
                <w:rFonts w:hint="eastAsia"/>
                <w:color w:val="auto"/>
                <w:highlight w:val="none"/>
              </w:rPr>
            </w:pPr>
            <w:r>
              <w:rPr>
                <w:rFonts w:hint="eastAsia" w:asciiTheme="minorEastAsia" w:hAnsiTheme="minorEastAsia" w:eastAsiaTheme="minorEastAsia" w:cstheme="minorEastAsia"/>
                <w:color w:val="auto"/>
                <w:szCs w:val="21"/>
                <w:highlight w:val="none"/>
              </w:rPr>
              <w:t>4、</w:t>
            </w:r>
            <w:r>
              <w:rPr>
                <w:rFonts w:hint="eastAsia"/>
                <w:color w:val="auto"/>
                <w:highlight w:val="none"/>
              </w:rPr>
              <w:t>主要施工工艺流程：</w:t>
            </w:r>
          </w:p>
          <w:p>
            <w:pPr>
              <w:pStyle w:val="2"/>
              <w:spacing w:line="360" w:lineRule="auto"/>
              <w:rPr>
                <w:rFonts w:hint="eastAsia"/>
                <w:color w:val="auto"/>
                <w:highlight w:val="none"/>
                <w:lang w:val="en-US" w:eastAsia="zh-CN"/>
              </w:rPr>
            </w:pPr>
            <w:r>
              <w:rPr>
                <w:rFonts w:hint="eastAsia"/>
                <w:color w:val="auto"/>
                <w:highlight w:val="none"/>
                <w:lang w:val="en-US" w:eastAsia="zh-CN"/>
              </w:rPr>
              <w:t>施工准备</w:t>
            </w:r>
            <w:r>
              <w:rPr>
                <w:rFonts w:hint="eastAsia"/>
                <w:color w:val="auto"/>
                <w:highlight w:val="none"/>
              </w:rPr>
              <w:t>→</w:t>
            </w:r>
            <w:r>
              <w:rPr>
                <w:rFonts w:hint="eastAsia"/>
                <w:color w:val="auto"/>
                <w:highlight w:val="none"/>
                <w:lang w:val="en-US" w:eastAsia="zh-CN"/>
              </w:rPr>
              <w:t>测量放样</w:t>
            </w:r>
            <w:r>
              <w:rPr>
                <w:rFonts w:hint="eastAsia"/>
                <w:color w:val="auto"/>
                <w:highlight w:val="none"/>
              </w:rPr>
              <w:t>→</w:t>
            </w:r>
            <w:r>
              <w:rPr>
                <w:rFonts w:hint="eastAsia"/>
                <w:color w:val="auto"/>
                <w:highlight w:val="none"/>
                <w:lang w:val="en-US" w:eastAsia="zh-CN"/>
              </w:rPr>
              <w:t>清表</w:t>
            </w:r>
            <w:r>
              <w:rPr>
                <w:rFonts w:hint="eastAsia"/>
                <w:color w:val="auto"/>
                <w:highlight w:val="none"/>
              </w:rPr>
              <w:t>→</w:t>
            </w:r>
            <w:r>
              <w:rPr>
                <w:rFonts w:hint="eastAsia"/>
                <w:color w:val="auto"/>
                <w:highlight w:val="none"/>
                <w:lang w:val="en-US" w:eastAsia="zh-CN"/>
              </w:rPr>
              <w:t>填前碾压</w:t>
            </w:r>
            <w:r>
              <w:rPr>
                <w:rFonts w:hint="eastAsia"/>
                <w:color w:val="auto"/>
                <w:highlight w:val="none"/>
              </w:rPr>
              <w:t>→</w:t>
            </w:r>
            <w:r>
              <w:rPr>
                <w:rFonts w:hint="eastAsia"/>
                <w:color w:val="auto"/>
                <w:highlight w:val="none"/>
                <w:lang w:val="en-US" w:eastAsia="zh-CN"/>
              </w:rPr>
              <w:t>分层填筑碾压</w:t>
            </w:r>
            <w:r>
              <w:rPr>
                <w:rFonts w:hint="eastAsia"/>
                <w:color w:val="auto"/>
                <w:highlight w:val="none"/>
              </w:rPr>
              <w:t>→</w:t>
            </w:r>
            <w:r>
              <w:rPr>
                <w:rFonts w:hint="eastAsia"/>
                <w:color w:val="auto"/>
                <w:highlight w:val="none"/>
                <w:lang w:val="en-US" w:eastAsia="zh-CN"/>
              </w:rPr>
              <w:t>路面结构施工</w:t>
            </w:r>
          </w:p>
          <w:p>
            <w:pPr>
              <w:pStyle w:val="2"/>
              <w:spacing w:line="360" w:lineRule="auto"/>
              <w:rPr>
                <w:rFonts w:hint="eastAsia"/>
                <w:color w:val="auto"/>
                <w:highlight w:val="none"/>
              </w:rPr>
            </w:pPr>
            <w:r>
              <w:rPr>
                <w:rFonts w:hint="eastAsia"/>
                <w:color w:val="auto"/>
                <w:highlight w:val="none"/>
              </w:rPr>
              <w:t>确认过程：砼浇筑、土方开挖、隐蔽工程等</w:t>
            </w:r>
          </w:p>
          <w:p>
            <w:pPr>
              <w:pStyle w:val="2"/>
              <w:spacing w:line="360" w:lineRule="auto"/>
              <w:rPr>
                <w:rFonts w:hint="eastAsia"/>
                <w:color w:val="auto"/>
                <w:highlight w:val="none"/>
              </w:rPr>
            </w:pPr>
            <w:r>
              <w:rPr>
                <w:rFonts w:hint="eastAsia"/>
                <w:color w:val="auto"/>
                <w:highlight w:val="none"/>
              </w:rPr>
              <w:t>管控措施：施工方案、技术措施</w:t>
            </w:r>
          </w:p>
          <w:p>
            <w:pPr>
              <w:pStyle w:val="2"/>
              <w:spacing w:line="360" w:lineRule="auto"/>
              <w:rPr>
                <w:rFonts w:hint="eastAsia"/>
                <w:color w:val="auto"/>
                <w:highlight w:val="none"/>
              </w:rPr>
            </w:pPr>
            <w:r>
              <w:rPr>
                <w:rFonts w:hint="eastAsia"/>
                <w:color w:val="auto"/>
                <w:highlight w:val="none"/>
              </w:rPr>
              <w:t>外包过程：无</w:t>
            </w:r>
          </w:p>
          <w:p>
            <w:pPr>
              <w:spacing w:line="360" w:lineRule="auto"/>
              <w:rPr>
                <w:color w:val="auto"/>
                <w:highlight w:val="none"/>
              </w:rPr>
            </w:pPr>
            <w:r>
              <w:rPr>
                <w:rFonts w:hint="eastAsia"/>
                <w:color w:val="auto"/>
                <w:highlight w:val="none"/>
              </w:rPr>
              <w:t>确认过程：无</w:t>
            </w:r>
          </w:p>
          <w:p>
            <w:pPr>
              <w:spacing w:line="360" w:lineRule="auto"/>
              <w:rPr>
                <w:rFonts w:hint="eastAsia"/>
                <w:color w:val="auto"/>
                <w:highlight w:val="none"/>
              </w:rPr>
            </w:pPr>
            <w:r>
              <w:rPr>
                <w:rFonts w:hint="eastAsia"/>
                <w:color w:val="auto"/>
                <w:highlight w:val="none"/>
              </w:rPr>
              <w:t>管控措施：施工方案、技术措施</w:t>
            </w:r>
          </w:p>
          <w:p>
            <w:pPr>
              <w:spacing w:line="360" w:lineRule="auto"/>
              <w:rPr>
                <w:color w:val="auto"/>
                <w:highlight w:val="none"/>
              </w:rPr>
            </w:pPr>
            <w:r>
              <w:rPr>
                <w:rFonts w:hint="eastAsia"/>
                <w:color w:val="auto"/>
                <w:highlight w:val="none"/>
              </w:rPr>
              <w:t>外包过程：无</w:t>
            </w:r>
          </w:p>
          <w:p>
            <w:pPr>
              <w:spacing w:line="360" w:lineRule="auto"/>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5、对策划结果实行动态管理，针对项目运行过程中的各种变更动态，对专项施工方案进行动态控制，对变更的结果进行评审、并监督实施。</w:t>
            </w:r>
          </w:p>
        </w:tc>
        <w:tc>
          <w:tcPr>
            <w:tcW w:w="549" w:type="dxa"/>
          </w:tcPr>
          <w:p>
            <w:pPr>
              <w:spacing w:line="360" w:lineRule="auto"/>
              <w:rPr>
                <w:rFonts w:asciiTheme="minorEastAsia" w:hAnsiTheme="minorEastAsia" w:eastAsiaTheme="minorEastAsia" w:cstheme="minorEastAsia"/>
                <w:color w:val="auto"/>
                <w:szCs w:val="21"/>
              </w:rPr>
            </w:pPr>
            <w:r>
              <w:rPr>
                <w:rFonts w:hint="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526" w:type="dxa"/>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分包管理</w:t>
            </w:r>
          </w:p>
          <w:p>
            <w:pPr>
              <w:spacing w:line="360" w:lineRule="auto"/>
              <w:rPr>
                <w:rFonts w:asciiTheme="minorEastAsia" w:hAnsiTheme="minorEastAsia" w:eastAsiaTheme="minorEastAsia" w:cstheme="minorEastAsia"/>
                <w:color w:val="auto"/>
                <w:szCs w:val="21"/>
                <w:highlight w:val="none"/>
              </w:rPr>
            </w:pPr>
          </w:p>
        </w:tc>
        <w:tc>
          <w:tcPr>
            <w:tcW w:w="1276" w:type="dxa"/>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J9.1-9.2</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Q8.4</w:t>
            </w:r>
          </w:p>
        </w:tc>
        <w:tc>
          <w:tcPr>
            <w:tcW w:w="11358" w:type="dxa"/>
          </w:tcPr>
          <w:p>
            <w:pPr>
              <w:spacing w:line="360" w:lineRule="auto"/>
              <w:rPr>
                <w:color w:val="auto"/>
                <w:highlight w:val="none"/>
              </w:rPr>
            </w:pPr>
            <w:r>
              <w:rPr>
                <w:rFonts w:hint="eastAsia"/>
                <w:color w:val="auto"/>
                <w:highlight w:val="none"/>
              </w:rPr>
              <w:t>●未见劳务分包。需要劳务分包时，跟分包方签订劳务分包合同，执行企业的分包管理制度。</w:t>
            </w:r>
          </w:p>
          <w:p>
            <w:pPr>
              <w:pStyle w:val="2"/>
              <w:spacing w:line="360" w:lineRule="auto"/>
              <w:rPr>
                <w:color w:val="auto"/>
                <w:highlight w:val="none"/>
              </w:rPr>
            </w:pPr>
            <w:r>
              <w:rPr>
                <w:rFonts w:hint="eastAsia"/>
                <w:color w:val="auto"/>
                <w:highlight w:val="none"/>
              </w:rPr>
              <w:t>●未见工程分包。</w:t>
            </w:r>
          </w:p>
        </w:tc>
        <w:tc>
          <w:tcPr>
            <w:tcW w:w="549" w:type="dxa"/>
          </w:tcPr>
          <w:p>
            <w:pPr>
              <w:spacing w:line="360" w:lineRule="auto"/>
              <w:rPr>
                <w:rFonts w:asciiTheme="minorEastAsia" w:hAnsiTheme="minorEastAsia" w:eastAsiaTheme="minorEastAsia" w:cstheme="minorEastAsia"/>
                <w:color w:val="auto"/>
                <w:szCs w:val="21"/>
                <w:highlight w:val="yellow"/>
              </w:rPr>
            </w:pPr>
          </w:p>
          <w:p>
            <w:pPr>
              <w:spacing w:line="360" w:lineRule="auto"/>
              <w:rPr>
                <w:rFonts w:asciiTheme="minorEastAsia" w:hAnsiTheme="minorEastAsia" w:eastAsiaTheme="minorEastAsia" w:cstheme="minorEastAsia"/>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26" w:type="dxa"/>
          </w:tcPr>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施工准备&amp;施工过程质量的控制</w:t>
            </w:r>
          </w:p>
          <w:p>
            <w:pPr>
              <w:tabs>
                <w:tab w:val="left" w:pos="7380"/>
              </w:tabs>
              <w:spacing w:line="360" w:lineRule="auto"/>
              <w:rPr>
                <w:rFonts w:asciiTheme="minorEastAsia" w:hAnsiTheme="minorEastAsia" w:eastAsiaTheme="minorEastAsia" w:cstheme="minorEastAsia"/>
                <w:b/>
                <w:color w:val="auto"/>
                <w:szCs w:val="21"/>
              </w:rPr>
            </w:pPr>
          </w:p>
          <w:p>
            <w:pPr>
              <w:spacing w:line="360" w:lineRule="auto"/>
              <w:rPr>
                <w:rFonts w:asciiTheme="minorEastAsia" w:hAnsiTheme="minorEastAsia" w:eastAsiaTheme="minorEastAsia" w:cstheme="minorEastAsia"/>
                <w:color w:val="auto"/>
                <w:szCs w:val="21"/>
              </w:rPr>
            </w:pPr>
          </w:p>
        </w:tc>
        <w:tc>
          <w:tcPr>
            <w:tcW w:w="1276" w:type="dxa"/>
          </w:tcPr>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J10.4</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J10.5.1</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Q8.5.1</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E08.1</w:t>
            </w:r>
          </w:p>
          <w:p>
            <w:pPr>
              <w:spacing w:line="360" w:lineRule="auto"/>
              <w:rPr>
                <w:rFonts w:asciiTheme="minorEastAsia" w:hAnsiTheme="minorEastAsia" w:eastAsiaTheme="minorEastAsia" w:cstheme="minorEastAsia"/>
                <w:color w:val="auto"/>
                <w:szCs w:val="21"/>
              </w:rPr>
            </w:pPr>
          </w:p>
        </w:tc>
        <w:tc>
          <w:tcPr>
            <w:tcW w:w="11358" w:type="dxa"/>
          </w:tcPr>
          <w:p>
            <w:pPr>
              <w:spacing w:line="360" w:lineRule="auto"/>
              <w:rPr>
                <w:color w:val="auto"/>
              </w:rPr>
            </w:pPr>
            <w:r>
              <w:rPr>
                <w:rFonts w:hint="eastAsia"/>
                <w:color w:val="auto"/>
              </w:rPr>
              <w:t>查竣工工程：</w:t>
            </w:r>
          </w:p>
          <w:p>
            <w:pPr>
              <w:spacing w:line="360" w:lineRule="auto"/>
              <w:rPr>
                <w:rFonts w:hint="default" w:eastAsia="宋体"/>
                <w:color w:val="auto"/>
                <w:lang w:val="en-US" w:eastAsia="zh-CN"/>
              </w:rPr>
            </w:pPr>
            <w:r>
              <w:rPr>
                <w:rFonts w:hint="eastAsia"/>
                <w:color w:val="auto"/>
              </w:rPr>
              <w:t>抽查：</w:t>
            </w:r>
            <w:r>
              <w:rPr>
                <w:rFonts w:hint="eastAsia"/>
                <w:color w:val="auto"/>
                <w:lang w:val="en-US" w:eastAsia="zh-CN"/>
              </w:rPr>
              <w:t>海棠路南昌市益建实业有限公司门卫室及围墙修复工程</w:t>
            </w:r>
          </w:p>
          <w:p>
            <w:pPr>
              <w:spacing w:line="360" w:lineRule="auto"/>
              <w:rPr>
                <w:rFonts w:hint="eastAsia" w:eastAsia="宋体"/>
                <w:color w:val="auto"/>
                <w:lang w:eastAsia="zh-CN"/>
              </w:rPr>
            </w:pPr>
            <w:r>
              <w:rPr>
                <w:rFonts w:hint="eastAsia"/>
                <w:color w:val="auto"/>
              </w:rPr>
              <w:t>一、工程名称：</w:t>
            </w:r>
            <w:r>
              <w:rPr>
                <w:rFonts w:hint="eastAsia"/>
                <w:color w:val="auto"/>
                <w:lang w:val="en-US" w:eastAsia="zh-CN"/>
              </w:rPr>
              <w:t>海棠路南昌市益建实业有限公司门卫室及围墙修复工程</w:t>
            </w:r>
            <w:r>
              <w:rPr>
                <w:rFonts w:hint="eastAsia"/>
                <w:color w:val="auto"/>
                <w:lang w:eastAsia="zh-CN"/>
              </w:rPr>
              <w:t>（</w:t>
            </w:r>
            <w:r>
              <w:rPr>
                <w:rFonts w:hint="eastAsia"/>
                <w:color w:val="auto"/>
                <w:lang w:val="en-US" w:eastAsia="zh-CN"/>
              </w:rPr>
              <w:t>（南昌市经济技术开发区）</w:t>
            </w:r>
            <w:r>
              <w:rPr>
                <w:rFonts w:hint="eastAsia"/>
                <w:color w:val="auto"/>
                <w:lang w:eastAsia="zh-CN"/>
              </w:rPr>
              <w:t>）</w:t>
            </w:r>
          </w:p>
          <w:p>
            <w:pPr>
              <w:spacing w:line="360" w:lineRule="auto"/>
              <w:rPr>
                <w:rFonts w:hint="default"/>
                <w:color w:val="auto"/>
                <w:lang w:val="en-US" w:eastAsia="zh-CN"/>
              </w:rPr>
            </w:pPr>
            <w:r>
              <w:rPr>
                <w:rFonts w:hint="eastAsia"/>
                <w:color w:val="auto"/>
              </w:rPr>
              <w:t>甲方：</w:t>
            </w:r>
            <w:r>
              <w:rPr>
                <w:rFonts w:hint="eastAsia"/>
                <w:color w:val="auto"/>
                <w:lang w:val="en-US" w:eastAsia="zh-CN"/>
              </w:rPr>
              <w:t>南昌经济技术开发区投资控股有限公司</w:t>
            </w:r>
          </w:p>
          <w:p>
            <w:pPr>
              <w:spacing w:line="360" w:lineRule="auto"/>
              <w:rPr>
                <w:rFonts w:asciiTheme="minorEastAsia" w:hAnsiTheme="minorEastAsia" w:eastAsiaTheme="minorEastAsia"/>
                <w:color w:val="auto"/>
                <w:sz w:val="20"/>
              </w:rPr>
            </w:pPr>
            <w:r>
              <w:rPr>
                <w:rFonts w:hint="eastAsia"/>
                <w:color w:val="auto"/>
              </w:rPr>
              <w:t>施工单位（乙方）：</w:t>
            </w:r>
            <w:bookmarkStart w:id="0" w:name="组织名称"/>
            <w:r>
              <w:rPr>
                <w:rFonts w:asciiTheme="minorEastAsia" w:hAnsiTheme="minorEastAsia" w:eastAsiaTheme="minorEastAsia"/>
                <w:color w:val="auto"/>
                <w:sz w:val="20"/>
              </w:rPr>
              <w:t>南昌金开工匠建设工程集团有限公司</w:t>
            </w:r>
            <w:bookmarkEnd w:id="0"/>
          </w:p>
          <w:p>
            <w:pPr>
              <w:pStyle w:val="2"/>
              <w:rPr>
                <w:rFonts w:hint="default" w:eastAsiaTheme="minorEastAsia"/>
                <w:color w:val="auto"/>
                <w:lang w:val="en-US" w:eastAsia="zh-CN"/>
              </w:rPr>
            </w:pPr>
            <w:r>
              <w:rPr>
                <w:rFonts w:hint="eastAsia" w:asciiTheme="minorEastAsia" w:hAnsiTheme="minorEastAsia" w:eastAsiaTheme="minorEastAsia"/>
                <w:color w:val="auto"/>
                <w:sz w:val="20"/>
                <w:lang w:val="en-US" w:eastAsia="zh-CN"/>
              </w:rPr>
              <w:t>设计单位：南昌经开区规划建设设计院有限公司</w:t>
            </w:r>
          </w:p>
          <w:p>
            <w:pPr>
              <w:spacing w:line="360" w:lineRule="auto"/>
              <w:rPr>
                <w:rFonts w:hint="default" w:eastAsia="宋体"/>
                <w:color w:val="auto"/>
                <w:lang w:val="en-US" w:eastAsia="zh-CN"/>
              </w:rPr>
            </w:pPr>
            <w:r>
              <w:rPr>
                <w:rFonts w:hint="eastAsia"/>
                <w:color w:val="auto"/>
              </w:rPr>
              <w:t>监理单位：</w:t>
            </w:r>
            <w:r>
              <w:rPr>
                <w:rFonts w:hint="eastAsia"/>
                <w:color w:val="auto"/>
                <w:lang w:val="en-US" w:eastAsia="zh-CN"/>
              </w:rPr>
              <w:t>江西瑞林建设监理有限公司</w:t>
            </w:r>
          </w:p>
          <w:p>
            <w:pPr>
              <w:pStyle w:val="2"/>
              <w:rPr>
                <w:color w:val="auto"/>
              </w:rPr>
            </w:pPr>
          </w:p>
          <w:p>
            <w:pPr>
              <w:pStyle w:val="3"/>
              <w:numPr>
                <w:ilvl w:val="0"/>
                <w:numId w:val="1"/>
              </w:numPr>
              <w:ind w:left="420" w:leftChars="0" w:firstLineChars="0"/>
              <w:rPr>
                <w:rFonts w:hint="eastAsia" w:ascii="宋体" w:hAnsi="宋体" w:eastAsia="宋体" w:cs="宋体"/>
                <w:color w:val="auto"/>
                <w:sz w:val="24"/>
                <w:szCs w:val="24"/>
              </w:rPr>
            </w:pPr>
            <w:r>
              <w:rPr>
                <w:rFonts w:hint="eastAsia"/>
                <w:color w:val="auto"/>
                <w:highlight w:val="none"/>
              </w:rPr>
              <w:t>1、</w:t>
            </w:r>
            <w:r>
              <w:rPr>
                <w:rFonts w:hint="eastAsia" w:ascii="宋体" w:hAnsi="宋体" w:eastAsia="宋体" w:cs="宋体"/>
                <w:color w:val="auto"/>
                <w:sz w:val="24"/>
                <w:szCs w:val="24"/>
              </w:rPr>
              <w:t>工程概况</w:t>
            </w:r>
          </w:p>
          <w:p>
            <w:pPr>
              <w:spacing w:line="360" w:lineRule="auto"/>
              <w:rPr>
                <w:rFonts w:hint="eastAsia"/>
                <w:color w:val="auto"/>
              </w:rPr>
            </w:pPr>
            <w:r>
              <w:rPr>
                <w:color w:val="auto"/>
                <w:sz w:val="24"/>
              </w:rPr>
              <w:t>（1）</w:t>
            </w:r>
            <w:r>
              <w:rPr>
                <w:rFonts w:hint="eastAsia" w:ascii="宋体" w:hAnsi="宋体" w:eastAsia="宋体" w:cs="宋体"/>
                <w:color w:val="auto"/>
                <w:sz w:val="24"/>
                <w:lang w:val="en-US" w:eastAsia="zh-CN"/>
              </w:rPr>
              <w:t>海棠路南昌市益建实业有限公司门卫室及围墙修复工程</w:t>
            </w:r>
            <w:r>
              <w:rPr>
                <w:rFonts w:hint="eastAsia" w:ascii="宋体" w:hAnsi="宋体" w:eastAsia="宋体" w:cs="宋体"/>
                <w:color w:val="auto"/>
                <w:sz w:val="24"/>
              </w:rPr>
              <w:t>，围墙总长</w:t>
            </w:r>
            <w:r>
              <w:rPr>
                <w:rFonts w:hint="eastAsia" w:ascii="宋体" w:hAnsi="宋体" w:cs="宋体"/>
                <w:color w:val="auto"/>
                <w:sz w:val="24"/>
                <w:lang w:val="en-US" w:eastAsia="zh-CN"/>
              </w:rPr>
              <w:t>249.81</w:t>
            </w:r>
            <w:r>
              <w:rPr>
                <w:rFonts w:hint="eastAsia" w:ascii="宋体" w:hAnsi="宋体" w:eastAsia="宋体" w:cs="宋体"/>
                <w:color w:val="auto"/>
                <w:sz w:val="24"/>
              </w:rPr>
              <w:t>米，</w:t>
            </w:r>
            <w:r>
              <w:rPr>
                <w:rFonts w:hint="eastAsia" w:ascii="宋体" w:hAnsi="宋体" w:cs="宋体"/>
                <w:color w:val="auto"/>
                <w:sz w:val="24"/>
                <w:lang w:val="en-US" w:eastAsia="zh-CN"/>
              </w:rPr>
              <w:t>挡土墙底垫层为C15混凝土，厚为100mm；墙身采用C25强度混凝土浇筑。围墙分段长度为15m，挖成一段砌筑一段，保证施工安全，雨天浇筑之时注意排水。挡土墙墙体每隔10m设置30mm伸缩缝，沿墙体纵横两项设置排水孔，泄水孔尺寸为100mm，最低泄水孔应高出地面300mm。</w:t>
            </w:r>
          </w:p>
          <w:p>
            <w:pPr>
              <w:pStyle w:val="21"/>
              <w:spacing w:line="360" w:lineRule="auto"/>
              <w:ind w:firstLine="480"/>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此次门卫施工为地上两层</w:t>
            </w:r>
            <w:r>
              <w:rPr>
                <w:rFonts w:hint="eastAsia" w:ascii="宋体" w:hAnsi="宋体" w:eastAsia="宋体" w:cs="宋体"/>
                <w:bCs/>
                <w:color w:val="auto"/>
                <w:sz w:val="24"/>
                <w:szCs w:val="24"/>
              </w:rPr>
              <w:t>，建筑面积</w:t>
            </w:r>
            <w:r>
              <w:rPr>
                <w:rFonts w:hint="eastAsia" w:ascii="宋体" w:hAnsi="宋体" w:eastAsia="宋体" w:cs="宋体"/>
                <w:bCs/>
                <w:color w:val="auto"/>
                <w:sz w:val="24"/>
                <w:szCs w:val="24"/>
                <w:lang w:val="en-US" w:eastAsia="zh-CN"/>
              </w:rPr>
              <w:t>108.40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占地面积：</w:t>
            </w:r>
            <w:r>
              <w:rPr>
                <w:rFonts w:hint="eastAsia" w:ascii="宋体" w:hAnsi="宋体" w:eastAsia="宋体" w:cs="宋体"/>
                <w:bCs/>
                <w:color w:val="auto"/>
                <w:sz w:val="24"/>
                <w:szCs w:val="24"/>
                <w:lang w:val="en-US" w:eastAsia="zh-CN"/>
              </w:rPr>
              <w:t>58.70</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bCs/>
                <w:color w:val="auto"/>
                <w:sz w:val="24"/>
                <w:szCs w:val="24"/>
              </w:rPr>
              <w:t>，建筑高度约</w:t>
            </w:r>
            <w:r>
              <w:rPr>
                <w:rFonts w:hint="eastAsia" w:ascii="宋体" w:hAnsi="宋体" w:eastAsia="宋体" w:cs="宋体"/>
                <w:bCs/>
                <w:color w:val="auto"/>
                <w:sz w:val="24"/>
                <w:szCs w:val="24"/>
                <w:lang w:val="en-US" w:eastAsia="zh-CN"/>
              </w:rPr>
              <w:t>6.75</w:t>
            </w:r>
            <w:r>
              <w:rPr>
                <w:rFonts w:hint="eastAsia" w:ascii="宋体" w:hAnsi="宋体" w:eastAsia="宋体" w:cs="宋体"/>
                <w:color w:val="auto"/>
                <w:sz w:val="24"/>
                <w:szCs w:val="24"/>
              </w:rPr>
              <w:t>m</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墙体、梁、板采用C25混凝土浇筑</w:t>
            </w:r>
            <w:r>
              <w:rPr>
                <w:rFonts w:hint="eastAsia" w:ascii="宋体" w:hAnsi="宋体" w:eastAsia="宋体" w:cs="宋体"/>
                <w:bCs/>
                <w:color w:val="auto"/>
                <w:sz w:val="24"/>
                <w:szCs w:val="24"/>
              </w:rPr>
              <w:t>。</w:t>
            </w:r>
          </w:p>
          <w:p>
            <w:pPr>
              <w:spacing w:line="500" w:lineRule="exact"/>
              <w:jc w:val="left"/>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1</w:t>
            </w:r>
            <w:r>
              <w:rPr>
                <w:rFonts w:hint="eastAsia" w:ascii="宋体" w:hAnsi="宋体" w:eastAsia="宋体" w:cs="宋体"/>
                <w:bCs/>
                <w:color w:val="auto"/>
                <w:sz w:val="24"/>
                <w:szCs w:val="24"/>
              </w:rPr>
              <w:t>、海棠路南昌市益建实业有限公司门卫室及围墙修复工程施工图纸。</w:t>
            </w:r>
          </w:p>
          <w:p>
            <w:pPr>
              <w:tabs>
                <w:tab w:val="left" w:pos="570"/>
              </w:tabs>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2、《建筑施工手册》（中国建筑业出版社1999年月1月出版）。</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3、《建筑施工安全检查标准》（JGJ 59-99）。</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4、《混凝土结构工程施工质量验收规范》（GB50204－2002）。</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5、《建筑地基基础设计规范》（GB50007-2002）。</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6、《建筑结构荷载规范》（GB50009-2001   2006年版）。</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7、《混凝土结构设计规范》（GB50010-2002）。</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8、《混凝土异形柱结构技术规程》（JGJ149-2006）。</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9、《混凝土结构耐久性设计规范》（GB/T50476-2008）。</w:t>
            </w:r>
          </w:p>
          <w:p>
            <w:pPr>
              <w:spacing w:line="500" w:lineRule="exact"/>
              <w:ind w:firstLine="360" w:firstLineChars="15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10、《建筑抗震设计规范》（GB50011-2010）。</w:t>
            </w:r>
          </w:p>
          <w:p>
            <w:pPr>
              <w:pStyle w:val="3"/>
              <w:rPr>
                <w:rFonts w:hint="eastAsia" w:ascii="宋体" w:hAnsi="宋体" w:eastAsia="宋体" w:cs="宋体"/>
                <w:color w:val="auto"/>
                <w:sz w:val="24"/>
                <w:szCs w:val="24"/>
              </w:rPr>
            </w:pPr>
            <w:r>
              <w:rPr>
                <w:rFonts w:hint="eastAsia" w:ascii="宋体" w:hAnsi="宋体" w:eastAsia="宋体" w:cs="宋体"/>
                <w:color w:val="auto"/>
                <w:sz w:val="24"/>
                <w:szCs w:val="24"/>
              </w:rPr>
              <w:t>工程施工目标</w:t>
            </w:r>
          </w:p>
          <w:p>
            <w:pPr>
              <w:spacing w:line="50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 xml:space="preserve"> 1、质量目标</w:t>
            </w:r>
          </w:p>
          <w:p>
            <w:pPr>
              <w:spacing w:line="440" w:lineRule="atLeas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认真按图纸要求，对照《混凝土结构工程施工质量验收规范》（GB50204－2002）、《建筑工程施工选题验收统一标准》（GB50300－2001）等国家有关规范、规程施工及验收，杜绝一切质量事故，分部分项工程一次验收合格率达100%，分部竣工验收的质量为合格。确保主体结构工程验收合格。</w:t>
            </w:r>
          </w:p>
          <w:p>
            <w:pPr>
              <w:spacing w:line="500" w:lineRule="exact"/>
              <w:ind w:firstLine="555"/>
              <w:rPr>
                <w:rFonts w:hint="eastAsia" w:ascii="宋体" w:hAnsi="宋体" w:eastAsia="宋体" w:cs="宋体"/>
                <w:bCs/>
                <w:color w:val="auto"/>
                <w:sz w:val="24"/>
                <w:szCs w:val="24"/>
              </w:rPr>
            </w:pPr>
            <w:r>
              <w:rPr>
                <w:rFonts w:hint="eastAsia" w:ascii="宋体" w:hAnsi="宋体" w:eastAsia="宋体" w:cs="宋体"/>
                <w:bCs/>
                <w:color w:val="auto"/>
                <w:sz w:val="24"/>
                <w:szCs w:val="24"/>
              </w:rPr>
              <w:t>2、安全目标</w:t>
            </w:r>
          </w:p>
          <w:p>
            <w:pPr>
              <w:spacing w:line="4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杜绝一切重伤级以上事故，轻伤年负伤频率控制在1.5%以内，杜绝一切重大机械事故和火灾事故。</w:t>
            </w:r>
          </w:p>
          <w:p>
            <w:pPr>
              <w:spacing w:line="500" w:lineRule="exact"/>
              <w:ind w:firstLine="555"/>
              <w:rPr>
                <w:rFonts w:hint="eastAsia" w:ascii="宋体" w:hAnsi="宋体" w:eastAsia="宋体" w:cs="宋体"/>
                <w:bCs/>
                <w:color w:val="auto"/>
                <w:sz w:val="24"/>
                <w:szCs w:val="24"/>
              </w:rPr>
            </w:pPr>
            <w:r>
              <w:rPr>
                <w:rFonts w:hint="eastAsia" w:ascii="宋体" w:hAnsi="宋体" w:eastAsia="宋体" w:cs="宋体"/>
                <w:bCs/>
                <w:color w:val="auto"/>
                <w:sz w:val="24"/>
                <w:szCs w:val="24"/>
              </w:rPr>
              <w:t>3、工期目标</w:t>
            </w:r>
          </w:p>
          <w:p>
            <w:pPr>
              <w:spacing w:line="500" w:lineRule="exact"/>
              <w:ind w:firstLine="555"/>
              <w:rPr>
                <w:rFonts w:hint="eastAsia" w:ascii="宋体" w:hAnsi="宋体" w:eastAsia="宋体" w:cs="宋体"/>
                <w:bCs/>
                <w:color w:val="auto"/>
                <w:sz w:val="24"/>
                <w:szCs w:val="24"/>
              </w:rPr>
            </w:pPr>
            <w:r>
              <w:rPr>
                <w:rFonts w:hint="eastAsia" w:ascii="宋体" w:hAnsi="宋体" w:eastAsia="宋体" w:cs="宋体"/>
                <w:bCs/>
                <w:color w:val="auto"/>
                <w:sz w:val="24"/>
                <w:szCs w:val="24"/>
              </w:rPr>
              <w:t>根据招标文件要求及工程量，结合我项目部的施工经验，门卫室主体施工工期为14个工作日。</w:t>
            </w:r>
          </w:p>
          <w:p>
            <w:pPr>
              <w:pStyle w:val="3"/>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五、施工工期安排及主要施工机具</w:t>
            </w:r>
          </w:p>
          <w:p>
            <w:pPr>
              <w:rPr>
                <w:rFonts w:hint="eastAsia" w:ascii="宋体" w:hAnsi="宋体" w:eastAsia="宋体" w:cs="宋体"/>
                <w:color w:val="auto"/>
                <w:sz w:val="24"/>
                <w:szCs w:val="24"/>
              </w:rPr>
            </w:pPr>
            <w:r>
              <w:rPr>
                <w:rFonts w:hint="eastAsia" w:ascii="宋体" w:hAnsi="宋体" w:eastAsia="宋体" w:cs="宋体"/>
                <w:color w:val="auto"/>
                <w:sz w:val="24"/>
                <w:szCs w:val="24"/>
              </w:rPr>
              <w:t>1、施工计划工期：</w:t>
            </w:r>
          </w:p>
          <w:p>
            <w:pPr>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（1）、2个工作日完成独立柱基础、基础梁土方开挖及垫层浇筑。</w:t>
            </w:r>
          </w:p>
          <w:p>
            <w:pPr>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（2）、4个工作日完成独立柱基础、基础梁钢筋制安、模板制安及基础砼浇筑。</w:t>
            </w:r>
          </w:p>
          <w:p>
            <w:pPr>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（3）、6个工作日完成剪力墙梁板钢筋制安、模板制安及砼浇筑。</w:t>
            </w:r>
          </w:p>
          <w:p>
            <w:pPr>
              <w:ind w:firstLine="120" w:firstLineChars="50"/>
              <w:rPr>
                <w:rFonts w:hint="eastAsia" w:ascii="宋体" w:hAnsi="宋体" w:eastAsia="宋体" w:cs="宋体"/>
                <w:color w:val="auto"/>
                <w:sz w:val="24"/>
                <w:szCs w:val="24"/>
              </w:rPr>
            </w:pPr>
          </w:p>
          <w:p>
            <w:pPr>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（4）、计划需要劳动力：</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工种</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人数</w:t>
                  </w:r>
                </w:p>
              </w:tc>
              <w:tc>
                <w:tcPr>
                  <w:tcW w:w="2376"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钢筋工</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76"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视现场情况调整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模板工</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76"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视现场情况调整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泥工</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76"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视现场情况调整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杂工</w:t>
                  </w:r>
                </w:p>
              </w:tc>
              <w:tc>
                <w:tcPr>
                  <w:tcW w:w="1704"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76"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视现场情况调整</w:t>
                  </w:r>
                </w:p>
              </w:tc>
            </w:tr>
          </w:tbl>
          <w:p>
            <w:pPr>
              <w:ind w:firstLine="120" w:firstLineChars="50"/>
              <w:rPr>
                <w:rFonts w:hint="eastAsia" w:ascii="宋体" w:hAnsi="宋体" w:eastAsia="宋体" w:cs="宋体"/>
                <w:color w:val="auto"/>
                <w:sz w:val="24"/>
                <w:szCs w:val="24"/>
              </w:rPr>
            </w:pPr>
          </w:p>
          <w:p>
            <w:pPr>
              <w:ind w:firstLine="120" w:firstLineChars="50"/>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2、主要施工机具：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500"/>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机具名称</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型 号</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单位功率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插入式振捣器</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JQ221－2</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平板式振捣器</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2F11</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电焊机</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XD</w:t>
                  </w:r>
                  <w:r>
                    <w:rPr>
                      <w:rFonts w:hint="eastAsia" w:ascii="宋体" w:hAnsi="宋体" w:eastAsia="宋体" w:cs="宋体"/>
                      <w:color w:val="auto"/>
                      <w:sz w:val="24"/>
                      <w:szCs w:val="24"/>
                      <w:vertAlign w:val="subscript"/>
                    </w:rPr>
                    <w:t>1</w:t>
                  </w:r>
                  <w:r>
                    <w:rPr>
                      <w:rFonts w:hint="eastAsia" w:ascii="宋体" w:hAnsi="宋体" w:eastAsia="宋体" w:cs="宋体"/>
                      <w:color w:val="auto"/>
                      <w:sz w:val="24"/>
                      <w:szCs w:val="24"/>
                    </w:rPr>
                    <w:t>－185</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12KWA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钢筋加工设备</w:t>
                  </w:r>
                </w:p>
              </w:tc>
              <w:tc>
                <w:tcPr>
                  <w:tcW w:w="1500" w:type="dxa"/>
                  <w:noWrap w:val="0"/>
                  <w:vAlign w:val="top"/>
                </w:tcPr>
                <w:p>
                  <w:pPr>
                    <w:rPr>
                      <w:rFonts w:hint="eastAsia" w:ascii="宋体" w:hAnsi="宋体" w:eastAsia="宋体" w:cs="宋体"/>
                      <w:color w:val="auto"/>
                      <w:sz w:val="24"/>
                      <w:szCs w:val="24"/>
                    </w:rPr>
                  </w:pP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5" w:type="dxa"/>
                  <w:noWrap w:val="0"/>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电锯</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MJ225</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2.8KW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经纬仪</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J2</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5" w:type="dxa"/>
                  <w:noWrap w:val="0"/>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水准仪</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S3－d</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5" w:type="dxa"/>
                  <w:noWrap w:val="0"/>
                  <w:vAlign w:val="top"/>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砼试件模</w:t>
                  </w:r>
                </w:p>
              </w:tc>
              <w:tc>
                <w:tcPr>
                  <w:tcW w:w="150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抗压</w:t>
                  </w:r>
                </w:p>
              </w:tc>
              <w:tc>
                <w:tcPr>
                  <w:tcW w:w="1704"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705"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5" w:type="dxa"/>
                  <w:noWrap w:val="0"/>
                  <w:vAlign w:val="top"/>
                </w:tcPr>
                <w:p>
                  <w:pPr>
                    <w:rPr>
                      <w:rFonts w:hint="eastAsia" w:ascii="宋体" w:hAnsi="宋体" w:eastAsia="宋体" w:cs="宋体"/>
                      <w:color w:val="auto"/>
                      <w:sz w:val="24"/>
                      <w:szCs w:val="24"/>
                    </w:rPr>
                  </w:pPr>
                </w:p>
              </w:tc>
            </w:tr>
          </w:tbl>
          <w:p>
            <w:pPr>
              <w:numPr>
                <w:ilvl w:val="0"/>
                <w:numId w:val="0"/>
              </w:numPr>
              <w:rPr>
                <w:rFonts w:hint="default" w:eastAsia="宋体"/>
                <w:color w:val="auto"/>
                <w:lang w:val="en-US" w:eastAsia="zh-CN"/>
              </w:rPr>
            </w:pPr>
            <w:r>
              <w:rPr>
                <w:rFonts w:hint="eastAsia"/>
                <w:color w:val="auto"/>
                <w:lang w:val="en-US" w:eastAsia="zh-CN"/>
              </w:rPr>
              <w:t>1、门卫室施工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施工工艺如下：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独立柱基础、基础梁土方开挖→基坑支护→浇捣独立柱基础、基础梁垫层→放线→安装独立柱基础、基础梁模板→绑扎独立柱基础、基础梁钢筋→安装柱头插筋→复测核正固定柱头钢筋→独立柱基础、基础梁钢筋验收→浇捣独立柱基础、基础梁混凝土→独立柱基础、基础梁混凝土养护→独立柱基础、基础梁模板拆除→回填土→柱定位放线→柱钢筋绑扎→柱模板安装→梁、板模板放线定位→梁、板模板安装→梁板钢筋绑扎→砼浇筑</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施工内容包括：</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、土方开挖及支护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1、土方开挖采取机械挖土配合人工挖土方法。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2、以放坡形式开挖，放坡坡度1:0.25。挖土机挖土时挖至设计标高上100mm时由人工修底。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3、承台开挖基底验收后马上进行垫层砼浇注。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钢筋工程</w:t>
            </w:r>
          </w:p>
          <w:p>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1、钢筋的制作和运输</w:t>
            </w:r>
          </w:p>
          <w:p>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钢筋加工前应做好验收及送检工作，合格后并经甲方、监理确认，方可开料，入仓库要分类挂牌堆放整齐。</w:t>
            </w:r>
          </w:p>
          <w:p>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钢筋加工的形状、尺寸必须符合设计和规范要求。钢筋表面应洁净、无损伤、油渍、漆污等。加工好的钢筋，根据进度需要按品种、规格分类挂牌堆放整齐。</w:t>
            </w:r>
          </w:p>
          <w:p>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2、钢筋的绑扎与安装</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钢筋安装前备好必要种类和数量的工用具（例如绑扎用的铁钩、撬棍、板子、绑扎架，绑扎用的铁丝，保护层用的垫块等），了解施工条件（例如运料路线、现场堆料地点，砼垫层浇捣和平整状况，模板清扫和润滑状况以及坚固程度，与其它工种的配合条件等）。做好技术交底，并使每个工人都懂得安全技术操作规程。</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绑扎立柱钢筋，严禁沿骨架攀登上下，必须搭设工作台。柱筋必须设防倾覆的临时固定措施。</w:t>
            </w:r>
          </w:p>
          <w:p>
            <w:pPr>
              <w:spacing w:line="500" w:lineRule="exact"/>
              <w:ind w:firstLine="724" w:firstLineChars="302"/>
              <w:rPr>
                <w:rFonts w:hint="eastAsia" w:ascii="宋体" w:hAnsi="宋体" w:eastAsia="宋体" w:cs="宋体"/>
                <w:color w:val="auto"/>
                <w:sz w:val="24"/>
                <w:szCs w:val="24"/>
              </w:rPr>
            </w:pPr>
            <w:r>
              <w:rPr>
                <w:rFonts w:hint="eastAsia" w:ascii="宋体" w:hAnsi="宋体" w:eastAsia="宋体" w:cs="宋体"/>
                <w:color w:val="auto"/>
                <w:sz w:val="24"/>
                <w:szCs w:val="24"/>
              </w:rPr>
              <w:t>楼面模板安装完毕后，在梁位置上每2M间距架一条80mm×80mm枋木，排好底筋及箍筋，再安腰筋及面筋，先主梁，后次梁，梁柱接头处柱箍筋用Ф10钢筋每面两条成排点焊固定再串梁筋。绑扎好梁筋之后，将梁筋提起取出枋木，整体放进梁模，下放时就位必须准确，不得使梁筋变形。</w:t>
            </w:r>
          </w:p>
          <w:p>
            <w:pPr>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框架梁节点处钢筋穿插较稠密时，应注意梁顶面主筋间的净间距要留有30mm宽，以利灌筑砼。</w:t>
            </w:r>
          </w:p>
          <w:p>
            <w:pPr>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pict>
                <v:shape id="_x0000_s2050" o:spid="_x0000_s2050" style="position:absolute;left:0pt;margin-left:255.75pt;margin-top:30.8pt;height:17.55pt;width:30.8pt;z-index:251661312;mso-width-relative:page;mso-height-relative:page;" filled="f" coordsize="700,460" path="m0,400hal120,460,120,60,360,0,360,420,700,260hae">
                  <v:path arrowok="t"/>
                  <v:fill on="f" focussize="0,0"/>
                  <v:stroke/>
                  <v:imagedata o:title=""/>
                  <o:lock v:ext="edit" grouping="f" rotation="f" text="f" aspectratio="f"/>
                </v:shape>
              </w:pict>
            </w:r>
            <w:r>
              <w:rPr>
                <w:rFonts w:hint="eastAsia" w:ascii="宋体" w:hAnsi="宋体" w:eastAsia="宋体" w:cs="宋体"/>
                <w:color w:val="auto"/>
                <w:sz w:val="24"/>
                <w:szCs w:val="24"/>
              </w:rPr>
              <w:t>楼板钢筋安装先在模板上弹出布筋位置墨线，绑扎时先底筋后负筋，二层筋必须按设计和规范绑扎足够的数量的马凳支架      ，防止浇筑砼时可能出现的钢筋变形、移位、浇筑砼时派专人随时检查校正。</w:t>
            </w:r>
          </w:p>
          <w:p>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钢筋保护层采用与结构砼成份相同的垫块绑扎在相应位置，垫块厚与保护层相同。</w:t>
            </w:r>
          </w:p>
          <w:p>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柱梁节点处钢筋密集、交错，在绑扎前需放样，以保护该部位钢筋绑扎质量。箍筋弯钩叠合处，沿受力钢筋方向错开设置。</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）模板工程</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质量标准：</w:t>
            </w:r>
          </w:p>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现浇结构模板安装的允许偏差及检验方法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308"/>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pacing w:line="500" w:lineRule="exac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允许偏差（mm）</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轴线位置</w:t>
                  </w: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底模上表面标高</w:t>
                  </w: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水准仪或接线、钢尺检查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noWrap w:val="0"/>
                  <w:vAlign w:val="top"/>
                </w:tcPr>
                <w:p>
                  <w:pPr>
                    <w:pStyle w:val="7"/>
                    <w:spacing w:line="7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截面内部尺寸</w:t>
                  </w: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noWrap w:val="0"/>
                  <w:vAlign w:val="top"/>
                </w:tcPr>
                <w:p>
                  <w:pPr>
                    <w:spacing w:line="760" w:lineRule="exact"/>
                    <w:jc w:val="center"/>
                    <w:rPr>
                      <w:rFonts w:hint="eastAsia" w:ascii="宋体" w:hAnsi="宋体" w:eastAsia="宋体" w:cs="宋体"/>
                      <w:color w:val="auto"/>
                      <w:sz w:val="24"/>
                      <w:szCs w:val="24"/>
                    </w:rPr>
                  </w:pP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noWrap w:val="0"/>
                  <w:vAlign w:val="top"/>
                </w:tcPr>
                <w:p>
                  <w:pPr>
                    <w:spacing w:line="7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层高垂直度</w:t>
                  </w: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经纬仪或吊线、钢尺检查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noWrap w:val="0"/>
                  <w:vAlign w:val="top"/>
                </w:tcPr>
                <w:p>
                  <w:pPr>
                    <w:spacing w:line="500" w:lineRule="exact"/>
                    <w:jc w:val="center"/>
                    <w:rPr>
                      <w:rFonts w:hint="eastAsia" w:ascii="宋体" w:hAnsi="宋体" w:eastAsia="宋体" w:cs="宋体"/>
                      <w:color w:val="auto"/>
                      <w:sz w:val="24"/>
                      <w:szCs w:val="24"/>
                    </w:rPr>
                  </w:pP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经纬仪或吊线、钢尺检查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相临两板表面高低差</w:t>
                  </w: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表面平整度</w:t>
                  </w:r>
                </w:p>
              </w:tc>
              <w:tc>
                <w:tcPr>
                  <w:tcW w:w="2308" w:type="dxa"/>
                  <w:noWrap w:val="0"/>
                  <w:vAlign w:val="top"/>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74" w:type="dxa"/>
                  <w:noWrap w:val="0"/>
                  <w:vAlign w:val="top"/>
                </w:tcPr>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2m靠尺和塞尺检查</w:t>
                  </w:r>
                </w:p>
              </w:tc>
            </w:tr>
          </w:tbl>
          <w:p>
            <w:pPr>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）砼工程</w:t>
            </w:r>
          </w:p>
          <w:p>
            <w:pPr>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严格按配料单执行，保证样样材料都称量准确。检查所用材料外观是否合格，砼所用的水、骨料、外加剂等必须有出厂合格证、试验报告。粗骨料最大颗粒径不得超过结构截面最小尺寸的1/4，且不得超过钢筋间最小净距的3/4，砼板骨料不宜超过板厚的1/2，且不得超出50mm，用泵送砼，则不能大于泵管内径的1/3径。骨料按品种、规格分别挂牌堆放，不得混杂，严禁混入煅烧的白云石或石灰块。不准出现蜂窝、孔洞、主筋露筋、缝隙夹渣。</w:t>
            </w:r>
          </w:p>
          <w:p>
            <w:pPr>
              <w:spacing w:line="5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（2）浇筑</w:t>
            </w:r>
          </w:p>
          <w:p>
            <w:pPr>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模板必须浇水湿润，不得有积水，对模板及其支架、钢筋和预埋件进行检查，并作好记录，严禁随意踩踏钢筋。对模板的缝隙和空洞要堵严，砼从料斗、溜槽或串筒等料口倾落入模的自由倾落高度，不应超过2m，在竖向结构（如墙、柱中），不应超过3m。注意输送管是否流浆液，开始时及停泵间隔过长时，必须注意砼是否离析，发现离析必须重新用人工搅拌，在泵送过程中，受料斗内应具有足够的砼，以防止吸入空气产生阻塞，人员不得坐在管上，底板砼分段连续浇筑，墙每次浇筑一般不超过1m高，浇筑完毕后停歇1～1.5小时，再继续浇筑，振捣均匀，梁板同时浇筑，合理分段分层进行，均匀上升，最好在室外气温较低时（15</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）进行，不宜超过28</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，但根据具体情况可做降温及保温处理，如搭设遮阳棚，选择早晚浇筑等。</w:t>
            </w:r>
          </w:p>
          <w:p>
            <w:pPr>
              <w:spacing w:line="5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（3）振捣</w:t>
            </w:r>
          </w:p>
          <w:p>
            <w:pPr>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每一振点的振捣延续时间必须控制好，保证砼捣实，表面呈现浮浆和碎石不再沉落，但也不应过长，而使石子全部沉于底部。用插入式振捣器，移动间距不宜大于作业半径的1.5倍，使用半径为35m，避免碰撞钢筋、模板及预埋件等，要不断提上放下振捣器，防止钢筋钳死振捣器，振捣插入下层砼内的深度不应小于50mm，注意边缘及转角振捣密度，振点采用500mm</w:t>
            </w:r>
            <w:r>
              <w:rPr>
                <w:rFonts w:hint="eastAsia" w:ascii="宋体" w:hAnsi="宋体" w:eastAsia="宋体" w:cs="宋体"/>
                <w:color w:val="auto"/>
                <w:sz w:val="24"/>
                <w:szCs w:val="24"/>
              </w:rPr>
              <w:sym w:font="UniversalMath1 BT" w:char="0033"/>
            </w:r>
            <w:r>
              <w:rPr>
                <w:rFonts w:hint="eastAsia" w:ascii="宋体" w:hAnsi="宋体" w:eastAsia="宋体" w:cs="宋体"/>
                <w:color w:val="auto"/>
                <w:sz w:val="24"/>
                <w:szCs w:val="24"/>
              </w:rPr>
              <w:t>500mm，梅花点振捣，并兼备人工插实结合，同时派专人随时观察模板、支架、钢筋、预埋件和预留空洞的情况，当发现有漏浆、变形和位移时，应及时采取措施进行处理。</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（4）养护</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浇筑砼后12小时内进行覆盖和浇水，因砼标号高，可选择7小时开始浇水，若天气较冷可适当延长，由于采用硅酸盐水泥，而又掺合料量大，保证养护时间不少于7天，考虑到养护期内仍继续发生化学反应，需补充大量水份，墙及柱模板未拆开，则水渗不进内，在不影响质量及损坏截面尺寸情况下，早拆模早浇水，保证砼内外温差不超过25</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，在已浇筑的砼强度未达到1.2N/mm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以前，不得在其面上踩踏或安装模板及支架。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（5）混凝土试块的留置制作混凝土试件，必须在浇捣地点随机抽取，除按规定留置标准外，还必须按新规定根据实际需要留置向条件养护试件。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同条件养护试件的留置方式和取样数量，应符合下列要求：</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1、条件养护试件所对应的结构构件或结构部位，应由监理（建设）、施工等各方共同选定；</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2、对混凝土结构工程中的各混凝土强度等级，均应留置同条件养护试件；</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3、同一强度等级的同条件养护试件，其留置的数量应根据混凝土工程量和重要性确定，不宜少天10组，且不应少于3组；</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4、同条件养护试件拆模后，应放置在靠近相应结构构件或结构部位的适当位置，并采取相同的养护方法。</w:t>
            </w:r>
          </w:p>
          <w:p>
            <w:pPr>
              <w:pStyle w:val="4"/>
              <w:ind w:firstLine="42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5、同条件养护试件应在达到等效养护龄期时送试验站进行强度试验。</w:t>
            </w:r>
          </w:p>
          <w:p>
            <w:pPr>
              <w:spacing w:line="500" w:lineRule="exact"/>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6、同条件自然养护试件等效养护龄期可取按日平均温度逐日</w:t>
            </w:r>
          </w:p>
          <w:p>
            <w:pPr>
              <w:spacing w:line="500" w:lineRule="exact"/>
              <w:ind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7、累计达到600</w:t>
            </w:r>
            <w:r>
              <w:rPr>
                <w:rFonts w:hint="eastAsia" w:ascii="宋体" w:hAnsi="宋体" w:eastAsia="宋体" w:cs="宋体"/>
                <w:color w:val="auto"/>
                <w:spacing w:val="20"/>
                <w:sz w:val="24"/>
                <w:szCs w:val="24"/>
                <w:vertAlign w:val="superscript"/>
              </w:rPr>
              <w:t>○</w:t>
            </w:r>
            <w:r>
              <w:rPr>
                <w:rFonts w:hint="eastAsia" w:ascii="宋体" w:hAnsi="宋体" w:eastAsia="宋体" w:cs="宋体"/>
                <w:color w:val="auto"/>
                <w:spacing w:val="20"/>
                <w:sz w:val="24"/>
                <w:szCs w:val="24"/>
              </w:rPr>
              <w:t>C.d时所对应的龄期,0</w:t>
            </w:r>
            <w:r>
              <w:rPr>
                <w:rFonts w:hint="eastAsia" w:ascii="宋体" w:hAnsi="宋体" w:eastAsia="宋体" w:cs="宋体"/>
                <w:color w:val="auto"/>
                <w:spacing w:val="20"/>
                <w:sz w:val="24"/>
                <w:szCs w:val="24"/>
                <w:vertAlign w:val="superscript"/>
              </w:rPr>
              <w:t>○</w:t>
            </w:r>
            <w:r>
              <w:rPr>
                <w:rFonts w:hint="eastAsia" w:ascii="宋体" w:hAnsi="宋体" w:eastAsia="宋体" w:cs="宋体"/>
                <w:color w:val="auto"/>
                <w:spacing w:val="20"/>
                <w:sz w:val="24"/>
                <w:szCs w:val="24"/>
              </w:rPr>
              <w:t>C及以下的龄期不计入;等效养护龄期不应小于14d,也不宜大于60d。</w:t>
            </w:r>
          </w:p>
          <w:p>
            <w:pPr>
              <w:spacing w:line="360" w:lineRule="auto"/>
              <w:ind w:firstLine="420" w:firstLineChars="200"/>
              <w:rPr>
                <w:color w:val="auto"/>
                <w:highlight w:val="none"/>
              </w:rPr>
            </w:pPr>
          </w:p>
          <w:p>
            <w:pPr>
              <w:numPr>
                <w:ilvl w:val="0"/>
                <w:numId w:val="2"/>
              </w:numPr>
              <w:spacing w:line="360" w:lineRule="auto"/>
              <w:rPr>
                <w:color w:val="auto"/>
              </w:rPr>
            </w:pPr>
            <w:r>
              <w:rPr>
                <w:rFonts w:hint="eastAsia"/>
                <w:color w:val="auto"/>
                <w:highlight w:val="none"/>
                <w:lang w:val="en-US" w:eastAsia="zh-CN"/>
              </w:rPr>
              <w:t>4、</w:t>
            </w:r>
          </w:p>
          <w:p>
            <w:pPr>
              <w:pStyle w:val="2"/>
              <w:widowControl w:val="0"/>
              <w:numPr>
                <w:ilvl w:val="0"/>
                <w:numId w:val="0"/>
              </w:numPr>
              <w:spacing w:before="25" w:after="25"/>
              <w:jc w:val="both"/>
              <w:rPr>
                <w:rFonts w:hint="eastAsia" w:eastAsia="宋体"/>
                <w:color w:val="auto"/>
                <w:lang w:eastAsia="zh-CN"/>
              </w:rPr>
            </w:pPr>
            <w:r>
              <w:rPr>
                <w:rFonts w:hint="eastAsia" w:eastAsia="宋体"/>
                <w:color w:val="auto"/>
                <w:lang w:eastAsia="zh-CN"/>
              </w:rPr>
              <w:drawing>
                <wp:anchor distT="0" distB="0" distL="114300" distR="114300" simplePos="0" relativeHeight="251660288" behindDoc="0" locked="0" layoutInCell="1" allowOverlap="1">
                  <wp:simplePos x="0" y="0"/>
                  <wp:positionH relativeFrom="column">
                    <wp:posOffset>-38100</wp:posOffset>
                  </wp:positionH>
                  <wp:positionV relativeFrom="paragraph">
                    <wp:posOffset>23495</wp:posOffset>
                  </wp:positionV>
                  <wp:extent cx="4878070" cy="3069590"/>
                  <wp:effectExtent l="0" t="0" r="17780" b="16510"/>
                  <wp:wrapNone/>
                  <wp:docPr id="2" name="图片 2" descr="af42c0255d4b8ff291b3644f63cd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f42c0255d4b8ff291b3644f63cdb0d"/>
                          <pic:cNvPicPr>
                            <a:picLocks noChangeAspect="1"/>
                          </pic:cNvPicPr>
                        </pic:nvPicPr>
                        <pic:blipFill>
                          <a:blip r:embed="rId6"/>
                          <a:stretch>
                            <a:fillRect/>
                          </a:stretch>
                        </pic:blipFill>
                        <pic:spPr>
                          <a:xfrm>
                            <a:off x="0" y="0"/>
                            <a:ext cx="4878070" cy="3069590"/>
                          </a:xfrm>
                          <a:prstGeom prst="rect">
                            <a:avLst/>
                          </a:prstGeom>
                        </pic:spPr>
                      </pic:pic>
                    </a:graphicData>
                  </a:graphic>
                </wp:anchor>
              </w:drawing>
            </w: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eastAsia="宋体"/>
                <w:color w:val="auto"/>
                <w:lang w:eastAsia="zh-CN"/>
              </w:rPr>
            </w:pPr>
          </w:p>
          <w:p>
            <w:pPr>
              <w:pStyle w:val="2"/>
              <w:widowControl w:val="0"/>
              <w:numPr>
                <w:ilvl w:val="0"/>
                <w:numId w:val="0"/>
              </w:numPr>
              <w:spacing w:before="25" w:after="25"/>
              <w:jc w:val="both"/>
              <w:rPr>
                <w:rFonts w:hint="eastAsia"/>
                <w:color w:val="auto"/>
                <w:lang w:val="en-US" w:eastAsia="zh-CN"/>
              </w:rPr>
            </w:pPr>
            <w:r>
              <w:rPr>
                <w:rFonts w:hint="eastAsia"/>
                <w:color w:val="auto"/>
                <w:lang w:val="en-US" w:eastAsia="zh-CN"/>
              </w:rPr>
              <w:t>项目部人员分工：</w:t>
            </w:r>
          </w:p>
          <w:p>
            <w:pPr>
              <w:pStyle w:val="2"/>
              <w:widowControl w:val="0"/>
              <w:numPr>
                <w:ilvl w:val="0"/>
                <w:numId w:val="0"/>
              </w:numPr>
              <w:spacing w:before="25" w:after="25"/>
              <w:jc w:val="both"/>
              <w:rPr>
                <w:rFonts w:hint="default"/>
                <w:color w:val="auto"/>
                <w:lang w:val="en-US" w:eastAsia="zh-CN"/>
              </w:rPr>
            </w:pPr>
            <w:r>
              <w:rPr>
                <w:color w:val="auto"/>
              </w:rPr>
              <w:drawing>
                <wp:inline distT="0" distB="0" distL="114300" distR="114300">
                  <wp:extent cx="3714750" cy="2533650"/>
                  <wp:effectExtent l="0" t="0" r="0"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7"/>
                          <a:stretch>
                            <a:fillRect/>
                          </a:stretch>
                        </pic:blipFill>
                        <pic:spPr>
                          <a:xfrm>
                            <a:off x="0" y="0"/>
                            <a:ext cx="3714750" cy="2533650"/>
                          </a:xfrm>
                          <a:prstGeom prst="rect">
                            <a:avLst/>
                          </a:prstGeom>
                          <a:noFill/>
                          <a:ln>
                            <a:noFill/>
                          </a:ln>
                        </pic:spPr>
                      </pic:pic>
                    </a:graphicData>
                  </a:graphic>
                </wp:inline>
              </w:drawing>
            </w:r>
          </w:p>
          <w:p>
            <w:pPr>
              <w:spacing w:line="360" w:lineRule="auto"/>
              <w:rPr>
                <w:color w:val="auto"/>
                <w:highlight w:val="none"/>
              </w:rPr>
            </w:pPr>
            <w:r>
              <w:rPr>
                <w:rFonts w:hint="eastAsia"/>
                <w:color w:val="auto"/>
                <w:highlight w:val="none"/>
              </w:rPr>
              <w:t>HSE管理措施( EO8.1)</w:t>
            </w:r>
          </w:p>
          <w:p>
            <w:pPr>
              <w:spacing w:line="360" w:lineRule="auto"/>
              <w:rPr>
                <w:color w:val="auto"/>
                <w:highlight w:val="none"/>
              </w:rPr>
            </w:pPr>
            <w:r>
              <w:rPr>
                <w:rFonts w:hint="eastAsia"/>
                <w:color w:val="auto"/>
                <w:highlight w:val="none"/>
              </w:rPr>
              <w:t>（1）施工区域内的花草树木、绿地以及办公居住设施必须加以保护,在进施工现场平面布置,材料堆放时要考虑尽可能避免污染,损害树木和公用设施。</w:t>
            </w:r>
          </w:p>
          <w:p>
            <w:pPr>
              <w:spacing w:line="360" w:lineRule="auto"/>
              <w:rPr>
                <w:color w:val="auto"/>
                <w:highlight w:val="none"/>
              </w:rPr>
            </w:pPr>
            <w:r>
              <w:rPr>
                <w:rFonts w:hint="eastAsia"/>
                <w:color w:val="auto"/>
                <w:highlight w:val="none"/>
              </w:rPr>
              <w:t>（2）施工现场要保持整洁卫生,垃圾要集中堆放,及时清理。</w:t>
            </w:r>
          </w:p>
          <w:p>
            <w:pPr>
              <w:spacing w:line="360" w:lineRule="auto"/>
              <w:rPr>
                <w:color w:val="auto"/>
                <w:highlight w:val="none"/>
              </w:rPr>
            </w:pPr>
            <w:r>
              <w:rPr>
                <w:rFonts w:hint="eastAsia"/>
                <w:color w:val="auto"/>
                <w:highlight w:val="none"/>
              </w:rPr>
              <w:t>（3）施工现场设置设置公告指示牌、各种质量、安全、文明宣传牌及场内条例标牌,要统一规格,并安放在施工现场明显处。</w:t>
            </w:r>
          </w:p>
          <w:p>
            <w:pPr>
              <w:spacing w:line="360" w:lineRule="auto"/>
              <w:rPr>
                <w:color w:val="auto"/>
                <w:highlight w:val="none"/>
              </w:rPr>
            </w:pPr>
            <w:r>
              <w:rPr>
                <w:rFonts w:hint="eastAsia"/>
                <w:color w:val="auto"/>
                <w:highlight w:val="none"/>
              </w:rPr>
              <w:t>（4）现场要达到:施工用水管线接引正规,不得跑、冒、滴、漏,临时电源应使用木杆架设,符合标准,安全可靠。</w:t>
            </w:r>
          </w:p>
          <w:p>
            <w:pPr>
              <w:spacing w:line="360" w:lineRule="auto"/>
              <w:rPr>
                <w:color w:val="auto"/>
                <w:highlight w:val="none"/>
              </w:rPr>
            </w:pPr>
            <w:r>
              <w:rPr>
                <w:rFonts w:hint="eastAsia"/>
                <w:color w:val="auto"/>
                <w:highlight w:val="none"/>
              </w:rPr>
              <w:t>（5）现场的材料堆放整齐,使用设备现场放置合理,施工有序进行；</w:t>
            </w:r>
          </w:p>
          <w:p>
            <w:pPr>
              <w:spacing w:line="360" w:lineRule="auto"/>
              <w:rPr>
                <w:color w:val="auto"/>
                <w:highlight w:val="none"/>
              </w:rPr>
            </w:pPr>
            <w:r>
              <w:rPr>
                <w:rFonts w:hint="eastAsia"/>
                <w:color w:val="auto"/>
                <w:highlight w:val="none"/>
              </w:rPr>
              <w:t>（6）减少扰民、降低环境污染措施:</w:t>
            </w:r>
          </w:p>
          <w:p>
            <w:pPr>
              <w:spacing w:line="360" w:lineRule="auto"/>
              <w:rPr>
                <w:color w:val="auto"/>
                <w:highlight w:val="none"/>
              </w:rPr>
            </w:pPr>
            <w:r>
              <w:rPr>
                <w:rFonts w:hint="eastAsia"/>
                <w:color w:val="auto"/>
                <w:highlight w:val="none"/>
              </w:rPr>
              <w:t>（7）对粉尘的控制:不使用粉状材料搭设防雨棚,大风天气不进行焊接</w:t>
            </w:r>
          </w:p>
          <w:p>
            <w:pPr>
              <w:spacing w:line="360" w:lineRule="auto"/>
              <w:rPr>
                <w:color w:val="auto"/>
                <w:highlight w:val="none"/>
              </w:rPr>
            </w:pPr>
            <w:r>
              <w:rPr>
                <w:rFonts w:hint="eastAsia"/>
                <w:color w:val="auto"/>
                <w:highlight w:val="none"/>
              </w:rPr>
              <w:t>作业。</w:t>
            </w:r>
          </w:p>
          <w:p>
            <w:pPr>
              <w:spacing w:line="360" w:lineRule="auto"/>
              <w:rPr>
                <w:color w:val="auto"/>
                <w:highlight w:val="none"/>
              </w:rPr>
            </w:pPr>
            <w:r>
              <w:rPr>
                <w:rFonts w:hint="eastAsia"/>
                <w:color w:val="auto"/>
                <w:highlight w:val="none"/>
              </w:rPr>
              <w:t>（8）对废水的控制:施工排水要指定地点排放,并进行无害化处理。</w:t>
            </w:r>
          </w:p>
          <w:p>
            <w:pPr>
              <w:spacing w:line="360" w:lineRule="auto"/>
              <w:rPr>
                <w:color w:val="auto"/>
                <w:highlight w:val="none"/>
              </w:rPr>
            </w:pPr>
            <w:r>
              <w:rPr>
                <w:rFonts w:hint="eastAsia"/>
                <w:color w:val="auto"/>
                <w:highlight w:val="none"/>
              </w:rPr>
              <w:t>（9）对废物的控制:不随意倾倒垃圾,统一放到建设单位指定的地点。</w:t>
            </w:r>
          </w:p>
          <w:p>
            <w:pPr>
              <w:spacing w:line="360" w:lineRule="auto"/>
              <w:rPr>
                <w:color w:val="auto"/>
                <w:highlight w:val="none"/>
              </w:rPr>
            </w:pPr>
            <w:r>
              <w:rPr>
                <w:rFonts w:hint="eastAsia"/>
                <w:color w:val="auto"/>
                <w:highlight w:val="none"/>
              </w:rPr>
              <w:t>（10）对废气的控制:施工运输机械间歇熄火,禁止使用燃烧不好的机械。</w:t>
            </w:r>
          </w:p>
          <w:p>
            <w:pPr>
              <w:spacing w:line="360" w:lineRule="auto"/>
              <w:rPr>
                <w:color w:val="auto"/>
                <w:highlight w:val="none"/>
              </w:rPr>
            </w:pPr>
            <w:r>
              <w:rPr>
                <w:rFonts w:hint="eastAsia"/>
                <w:color w:val="auto"/>
                <w:highlight w:val="none"/>
              </w:rPr>
              <w:t>（11）五级以上大风不允许野外动火,如确实因工作需要应采取积极有效的预防措施。动火完毕后应清理现场,做到人走火灭,保证安全。</w:t>
            </w:r>
          </w:p>
          <w:p>
            <w:pPr>
              <w:spacing w:line="360" w:lineRule="auto"/>
              <w:rPr>
                <w:color w:val="auto"/>
                <w:highlight w:val="none"/>
              </w:rPr>
            </w:pPr>
            <w:r>
              <w:rPr>
                <w:rFonts w:hint="eastAsia"/>
                <w:color w:val="auto"/>
                <w:highlight w:val="none"/>
              </w:rPr>
              <w:t>（</w:t>
            </w:r>
            <w:r>
              <w:rPr>
                <w:rFonts w:hint="eastAsia"/>
                <w:color w:val="auto"/>
                <w:highlight w:val="none"/>
                <w:lang w:val="en-US" w:eastAsia="zh-CN"/>
              </w:rPr>
              <w:t>12</w:t>
            </w:r>
            <w:r>
              <w:rPr>
                <w:rFonts w:hint="eastAsia"/>
                <w:color w:val="auto"/>
                <w:highlight w:val="none"/>
              </w:rPr>
              <w:t>）施工现场设置安全标志、提示标志,保证施工安全。</w:t>
            </w:r>
          </w:p>
          <w:p>
            <w:pPr>
              <w:spacing w:line="360" w:lineRule="auto"/>
              <w:rPr>
                <w:color w:val="auto"/>
                <w:highlight w:val="none"/>
              </w:rPr>
            </w:pPr>
            <w:r>
              <w:rPr>
                <w:rFonts w:hint="eastAsia"/>
                <w:color w:val="auto"/>
                <w:highlight w:val="none"/>
                <w:lang w:val="en-US" w:eastAsia="zh-CN"/>
              </w:rPr>
              <w:t>6、</w:t>
            </w:r>
            <w:r>
              <w:rPr>
                <w:rFonts w:hint="eastAsia"/>
                <w:color w:val="auto"/>
                <w:highlight w:val="none"/>
              </w:rPr>
              <w:t xml:space="preserve"> 施工设备及机具</w:t>
            </w:r>
          </w:p>
          <w:p>
            <w:pPr>
              <w:spacing w:line="360" w:lineRule="auto"/>
              <w:ind w:firstLine="420" w:firstLineChars="200"/>
              <w:rPr>
                <w:color w:val="auto"/>
                <w:highlight w:val="none"/>
              </w:rPr>
            </w:pPr>
            <w:r>
              <w:rPr>
                <w:rFonts w:hint="eastAsia"/>
                <w:color w:val="auto"/>
                <w:highlight w:val="none"/>
                <w:lang w:val="en-US" w:eastAsia="zh-CN"/>
              </w:rPr>
              <w:t>挖掘机、压路机、自卸汽车、装载机、全钻仪、水平仪</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w:t>
            </w:r>
            <w:r>
              <w:rPr>
                <w:rFonts w:hint="eastAsia"/>
                <w:color w:val="auto"/>
                <w:highlight w:val="none"/>
              </w:rPr>
              <w:t>详见J7.1-7.4Q7.1.3和J11.4Q7.1.5标准条款。</w:t>
            </w:r>
          </w:p>
          <w:p>
            <w:pPr>
              <w:numPr>
                <w:ilvl w:val="0"/>
                <w:numId w:val="0"/>
              </w:numPr>
              <w:spacing w:line="360" w:lineRule="auto"/>
              <w:ind w:leftChars="0"/>
              <w:rPr>
                <w:rFonts w:hint="eastAsia"/>
                <w:color w:val="auto"/>
                <w:highlight w:val="none"/>
              </w:rPr>
            </w:pPr>
            <w:r>
              <w:rPr>
                <w:rFonts w:hint="eastAsia"/>
                <w:color w:val="auto"/>
                <w:highlight w:val="none"/>
                <w:lang w:val="en-US" w:eastAsia="zh-CN"/>
              </w:rPr>
              <w:t>7、</w:t>
            </w:r>
            <w:r>
              <w:rPr>
                <w:rFonts w:hint="eastAsia"/>
                <w:color w:val="auto"/>
                <w:highlight w:val="none"/>
              </w:rPr>
              <w:t>查工程过程实施</w:t>
            </w:r>
          </w:p>
          <w:p>
            <w:pPr>
              <w:pStyle w:val="2"/>
              <w:numPr>
                <w:ilvl w:val="0"/>
                <w:numId w:val="0"/>
              </w:numPr>
              <w:ind w:leftChars="0"/>
              <w:rPr>
                <w:rFonts w:hint="eastAsia"/>
                <w:color w:val="auto"/>
                <w:lang w:val="en-US" w:eastAsia="zh-CN"/>
              </w:rPr>
            </w:pPr>
            <w:r>
              <w:rPr>
                <w:rFonts w:hint="eastAsia"/>
                <w:color w:val="auto"/>
                <w:lang w:val="en-US" w:eastAsia="zh-CN"/>
              </w:rPr>
              <w:t>见开工报告</w:t>
            </w:r>
          </w:p>
          <w:p>
            <w:pPr>
              <w:pStyle w:val="2"/>
              <w:numPr>
                <w:ilvl w:val="0"/>
                <w:numId w:val="0"/>
              </w:numPr>
              <w:ind w:leftChars="0"/>
              <w:rPr>
                <w:rFonts w:hint="default"/>
                <w:color w:val="auto"/>
                <w:lang w:val="en-US" w:eastAsia="zh-CN"/>
              </w:rPr>
            </w:pPr>
          </w:p>
          <w:p>
            <w:pPr>
              <w:spacing w:line="360" w:lineRule="auto"/>
              <w:jc w:val="left"/>
              <w:rPr>
                <w:color w:val="auto"/>
                <w:highlight w:val="none"/>
              </w:rPr>
            </w:pPr>
            <w:r>
              <w:rPr>
                <w:rFonts w:hint="eastAsia"/>
                <w:color w:val="auto"/>
                <w:highlight w:val="none"/>
              </w:rPr>
              <w:sym w:font="Wingdings 2" w:char="F098"/>
            </w:r>
            <w:r>
              <w:rPr>
                <w:rFonts w:hint="eastAsia"/>
                <w:color w:val="auto"/>
                <w:highlight w:val="none"/>
              </w:rPr>
              <w:t>档案查到以下活动对工程项目质量进行控制：</w:t>
            </w:r>
          </w:p>
          <w:p>
            <w:pPr>
              <w:spacing w:line="360" w:lineRule="auto"/>
              <w:ind w:firstLine="420" w:firstLineChars="200"/>
              <w:jc w:val="left"/>
              <w:rPr>
                <w:color w:val="auto"/>
                <w:highlight w:val="none"/>
              </w:rPr>
            </w:pPr>
            <w:r>
              <w:rPr>
                <w:rFonts w:hint="eastAsia"/>
                <w:color w:val="auto"/>
                <w:highlight w:val="none"/>
              </w:rPr>
              <w:t>1）正确使用专项施工方案、施工规范和验收标准，适用时，对施工过程实施样板引路；</w:t>
            </w:r>
          </w:p>
          <w:p>
            <w:pPr>
              <w:spacing w:line="360" w:lineRule="auto"/>
              <w:ind w:firstLine="420" w:firstLineChars="200"/>
              <w:jc w:val="left"/>
              <w:rPr>
                <w:color w:val="auto"/>
                <w:highlight w:val="none"/>
              </w:rPr>
            </w:pPr>
            <w:r>
              <w:rPr>
                <w:rFonts w:hint="eastAsia"/>
                <w:color w:val="auto"/>
                <w:highlight w:val="none"/>
              </w:rPr>
              <w:t>2）调配合格的操作人员——包括持证上岗要求的项目管理人员、特种作业人员等；</w:t>
            </w:r>
          </w:p>
          <w:p>
            <w:pPr>
              <w:spacing w:line="360" w:lineRule="auto"/>
              <w:ind w:firstLine="420" w:firstLineChars="200"/>
              <w:jc w:val="left"/>
              <w:rPr>
                <w:color w:val="auto"/>
                <w:highlight w:val="none"/>
              </w:rPr>
            </w:pPr>
            <w:r>
              <w:rPr>
                <w:rFonts w:hint="eastAsia"/>
                <w:color w:val="auto"/>
                <w:highlight w:val="none"/>
              </w:rPr>
              <w:t>3）配备和工程材料、构配件和设备、施工机具、检测设备；</w:t>
            </w:r>
          </w:p>
          <w:p>
            <w:pPr>
              <w:spacing w:line="360" w:lineRule="auto"/>
              <w:ind w:firstLine="420" w:firstLineChars="200"/>
              <w:jc w:val="left"/>
              <w:rPr>
                <w:color w:val="auto"/>
                <w:highlight w:val="none"/>
              </w:rPr>
            </w:pPr>
            <w:r>
              <w:rPr>
                <w:rFonts w:hint="eastAsia"/>
                <w:color w:val="auto"/>
                <w:highlight w:val="none"/>
              </w:rPr>
              <w:t>4）进行施工和检查——包括对工序的检查、技术复核、施工过程参数的监测和必要的统计分析等；</w:t>
            </w:r>
          </w:p>
          <w:p>
            <w:pPr>
              <w:spacing w:line="360" w:lineRule="auto"/>
              <w:ind w:left="630" w:leftChars="200" w:hanging="210" w:hangingChars="100"/>
              <w:jc w:val="left"/>
              <w:rPr>
                <w:color w:val="auto"/>
                <w:highlight w:val="none"/>
              </w:rPr>
            </w:pPr>
            <w:r>
              <w:rPr>
                <w:rFonts w:hint="eastAsia"/>
                <w:color w:val="auto"/>
                <w:highlight w:val="none"/>
              </w:rPr>
              <w:t>5）对施工作业环境进行控制——包括安全文明施工、绿色施工措施、季节性施工措施、不同专业交叉作业的环境协调控制措施等；</w:t>
            </w:r>
          </w:p>
          <w:p>
            <w:pPr>
              <w:spacing w:line="360" w:lineRule="auto"/>
              <w:ind w:firstLine="420" w:firstLineChars="200"/>
              <w:jc w:val="left"/>
              <w:rPr>
                <w:color w:val="auto"/>
                <w:highlight w:val="none"/>
              </w:rPr>
            </w:pPr>
            <w:r>
              <w:rPr>
                <w:rFonts w:hint="eastAsia"/>
                <w:color w:val="auto"/>
                <w:highlight w:val="none"/>
              </w:rPr>
              <w:t>6）合理安排施工进度；</w:t>
            </w:r>
          </w:p>
          <w:p>
            <w:pPr>
              <w:spacing w:line="360" w:lineRule="auto"/>
              <w:ind w:firstLine="420" w:firstLineChars="200"/>
              <w:jc w:val="left"/>
              <w:rPr>
                <w:color w:val="auto"/>
                <w:highlight w:val="none"/>
              </w:rPr>
            </w:pPr>
            <w:r>
              <w:rPr>
                <w:rFonts w:hint="eastAsia"/>
                <w:color w:val="auto"/>
                <w:highlight w:val="none"/>
              </w:rPr>
              <w:t>7）对成品、半成品采取保护措施；</w:t>
            </w:r>
          </w:p>
          <w:p>
            <w:pPr>
              <w:spacing w:line="360" w:lineRule="auto"/>
              <w:ind w:firstLine="420" w:firstLineChars="200"/>
              <w:jc w:val="left"/>
              <w:rPr>
                <w:color w:val="auto"/>
                <w:highlight w:val="none"/>
              </w:rPr>
            </w:pPr>
            <w:r>
              <w:rPr>
                <w:rFonts w:hint="eastAsia"/>
                <w:color w:val="auto"/>
                <w:highlight w:val="none"/>
              </w:rPr>
              <w:t>8）对突发事件实施应急响应与监控；</w:t>
            </w:r>
          </w:p>
          <w:p>
            <w:pPr>
              <w:spacing w:line="360" w:lineRule="auto"/>
              <w:ind w:firstLine="420" w:firstLineChars="200"/>
              <w:jc w:val="left"/>
              <w:rPr>
                <w:color w:val="auto"/>
                <w:highlight w:val="none"/>
              </w:rPr>
            </w:pPr>
            <w:r>
              <w:rPr>
                <w:rFonts w:hint="eastAsia"/>
                <w:color w:val="auto"/>
                <w:highlight w:val="none"/>
              </w:rPr>
              <w:t>9）对能力不足的施工过程进行监控；</w:t>
            </w:r>
          </w:p>
          <w:p>
            <w:pPr>
              <w:spacing w:line="360" w:lineRule="auto"/>
              <w:ind w:firstLine="420" w:firstLineChars="200"/>
              <w:jc w:val="left"/>
              <w:rPr>
                <w:color w:val="auto"/>
                <w:highlight w:val="none"/>
              </w:rPr>
            </w:pPr>
            <w:r>
              <w:rPr>
                <w:rFonts w:hint="eastAsia"/>
                <w:color w:val="auto"/>
                <w:highlight w:val="none"/>
              </w:rPr>
              <w:t>10）确保分包方的施工过程得到控制；</w:t>
            </w:r>
          </w:p>
          <w:p>
            <w:pPr>
              <w:spacing w:line="360" w:lineRule="auto"/>
              <w:ind w:firstLine="420" w:firstLineChars="200"/>
              <w:jc w:val="left"/>
              <w:rPr>
                <w:color w:val="auto"/>
                <w:highlight w:val="none"/>
              </w:rPr>
            </w:pPr>
            <w:r>
              <w:rPr>
                <w:rFonts w:hint="eastAsia"/>
                <w:color w:val="auto"/>
                <w:highlight w:val="none"/>
              </w:rPr>
              <w:t>11）采取措施防止人为错误；</w:t>
            </w:r>
          </w:p>
          <w:p>
            <w:pPr>
              <w:spacing w:line="360" w:lineRule="auto"/>
              <w:rPr>
                <w:color w:val="auto"/>
                <w:highlight w:val="none"/>
              </w:rPr>
            </w:pPr>
            <w:r>
              <w:rPr>
                <w:rFonts w:hint="eastAsia"/>
                <w:color w:val="auto"/>
                <w:highlight w:val="none"/>
              </w:rPr>
              <w:t>12）保证各项变更满足规定要求。</w:t>
            </w:r>
          </w:p>
          <w:p>
            <w:pPr>
              <w:spacing w:line="360" w:lineRule="auto"/>
              <w:rPr>
                <w:rFonts w:hint="eastAsia" w:eastAsia="宋体"/>
                <w:color w:val="auto"/>
                <w:highlight w:val="none"/>
                <w:lang w:val="en-US" w:eastAsia="zh-CN"/>
              </w:rPr>
            </w:pPr>
            <w:r>
              <w:rPr>
                <w:rFonts w:hint="eastAsia"/>
                <w:color w:val="auto"/>
                <w:highlight w:val="none"/>
                <w:lang w:val="en-US" w:eastAsia="zh-CN"/>
              </w:rPr>
              <w:t>8、</w:t>
            </w:r>
            <w:r>
              <w:rPr>
                <w:rFonts w:hint="eastAsia"/>
                <w:color w:val="auto"/>
                <w:highlight w:val="none"/>
              </w:rPr>
              <w:t xml:space="preserve"> 竣工</w:t>
            </w:r>
            <w:r>
              <w:rPr>
                <w:rFonts w:hint="eastAsia"/>
                <w:color w:val="auto"/>
                <w:highlight w:val="none"/>
                <w:lang w:val="en-US" w:eastAsia="zh-CN"/>
              </w:rPr>
              <w:t>验收：</w:t>
            </w:r>
          </w:p>
          <w:p>
            <w:pPr>
              <w:spacing w:line="360" w:lineRule="auto"/>
              <w:rPr>
                <w:rFonts w:hint="default" w:eastAsia="宋体"/>
                <w:color w:val="auto"/>
                <w:lang w:val="en-US" w:eastAsia="zh-CN"/>
              </w:rPr>
            </w:pPr>
          </w:p>
        </w:tc>
        <w:tc>
          <w:tcPr>
            <w:tcW w:w="549"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8" w:hRule="atLeast"/>
        </w:trPr>
        <w:tc>
          <w:tcPr>
            <w:tcW w:w="1526" w:type="dxa"/>
          </w:tcPr>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需确认的过程</w:t>
            </w:r>
          </w:p>
          <w:p>
            <w:pPr>
              <w:tabs>
                <w:tab w:val="left" w:pos="7380"/>
              </w:tabs>
              <w:spacing w:line="360" w:lineRule="auto"/>
              <w:rPr>
                <w:rFonts w:asciiTheme="minorEastAsia" w:hAnsiTheme="minorEastAsia" w:eastAsiaTheme="minorEastAsia" w:cstheme="minorEastAsia"/>
                <w:bCs/>
                <w:color w:val="auto"/>
                <w:szCs w:val="21"/>
              </w:rPr>
            </w:pPr>
          </w:p>
        </w:tc>
        <w:tc>
          <w:tcPr>
            <w:tcW w:w="1276" w:type="dxa"/>
          </w:tcPr>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J10.5.2</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Q8.5.1</w:t>
            </w:r>
          </w:p>
        </w:tc>
        <w:tc>
          <w:tcPr>
            <w:tcW w:w="11358" w:type="dxa"/>
          </w:tcPr>
          <w:p>
            <w:pPr>
              <w:spacing w:line="360" w:lineRule="auto"/>
              <w:jc w:val="left"/>
              <w:rPr>
                <w:color w:val="auto"/>
              </w:rPr>
            </w:pPr>
            <w:r>
              <w:rPr>
                <w:rFonts w:hint="eastAsia"/>
                <w:color w:val="auto"/>
              </w:rPr>
              <w:sym w:font="Wingdings 2" w:char="F098"/>
            </w:r>
            <w:r>
              <w:rPr>
                <w:rFonts w:hint="eastAsia"/>
                <w:color w:val="auto"/>
              </w:rPr>
              <w:t>目前公司施工过程中需要确认的过程有：无</w:t>
            </w:r>
          </w:p>
          <w:p>
            <w:pPr>
              <w:spacing w:line="360" w:lineRule="auto"/>
              <w:rPr>
                <w:rFonts w:hint="eastAsia"/>
                <w:color w:val="auto"/>
              </w:rPr>
            </w:pPr>
            <w:r>
              <w:rPr>
                <w:rFonts w:hint="eastAsia"/>
                <w:color w:val="auto"/>
              </w:rPr>
              <w:t>外包过程：无</w:t>
            </w:r>
          </w:p>
          <w:p>
            <w:pPr>
              <w:pStyle w:val="2"/>
              <w:rPr>
                <w:rFonts w:hint="eastAsia"/>
                <w:color w:val="auto"/>
                <w:lang w:val="en-US" w:eastAsia="zh-CN"/>
              </w:rPr>
            </w:pPr>
            <w:r>
              <w:rPr>
                <w:rFonts w:hint="eastAsia"/>
                <w:color w:val="auto"/>
                <w:lang w:val="en-US" w:eastAsia="zh-CN"/>
              </w:rPr>
              <w:t>抽混凝土抗压强度检测报告</w:t>
            </w:r>
          </w:p>
          <w:p>
            <w:pPr>
              <w:pStyle w:val="2"/>
              <w:rPr>
                <w:rFonts w:hint="eastAsia"/>
                <w:color w:val="auto"/>
                <w:lang w:val="en-US" w:eastAsia="zh-CN"/>
              </w:rPr>
            </w:pPr>
          </w:p>
          <w:p>
            <w:pPr>
              <w:pStyle w:val="2"/>
              <w:rPr>
                <w:rFonts w:hint="eastAsia"/>
                <w:color w:val="auto"/>
                <w:lang w:val="en-US" w:eastAsia="zh-CN"/>
              </w:rPr>
            </w:pPr>
            <w:r>
              <w:rPr>
                <w:color w:val="auto"/>
              </w:rPr>
              <w:drawing>
                <wp:anchor distT="0" distB="0" distL="114300" distR="114300" simplePos="0" relativeHeight="251662336" behindDoc="1" locked="0" layoutInCell="1" allowOverlap="1">
                  <wp:simplePos x="0" y="0"/>
                  <wp:positionH relativeFrom="column">
                    <wp:posOffset>116840</wp:posOffset>
                  </wp:positionH>
                  <wp:positionV relativeFrom="paragraph">
                    <wp:posOffset>212090</wp:posOffset>
                  </wp:positionV>
                  <wp:extent cx="3451225" cy="3215640"/>
                  <wp:effectExtent l="0" t="0" r="3810" b="15875"/>
                  <wp:wrapTight wrapText="bothSides">
                    <wp:wrapPolygon>
                      <wp:start x="4" y="21600"/>
                      <wp:lineTo x="21465" y="21600"/>
                      <wp:lineTo x="21465" y="102"/>
                      <wp:lineTo x="4" y="102"/>
                      <wp:lineTo x="4" y="21600"/>
                    </wp:wrapPolygon>
                  </wp:wrapTight>
                  <wp:docPr id="16" name="图片 16" descr="IMG_20211122_09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11122_092503"/>
                          <pic:cNvPicPr>
                            <a:picLocks noChangeAspect="1"/>
                          </pic:cNvPicPr>
                        </pic:nvPicPr>
                        <pic:blipFill>
                          <a:blip r:embed="rId8"/>
                          <a:stretch>
                            <a:fillRect/>
                          </a:stretch>
                        </pic:blipFill>
                        <pic:spPr>
                          <a:xfrm rot="5400000">
                            <a:off x="0" y="0"/>
                            <a:ext cx="3451225" cy="3215640"/>
                          </a:xfrm>
                          <a:prstGeom prst="rect">
                            <a:avLst/>
                          </a:prstGeom>
                        </pic:spPr>
                      </pic:pic>
                    </a:graphicData>
                  </a:graphic>
                </wp:anchor>
              </w:drawing>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抽混凝土材料检验批质量验收记录</w:t>
            </w:r>
          </w:p>
          <w:p>
            <w:pPr>
              <w:pStyle w:val="2"/>
              <w:rPr>
                <w:rFonts w:hint="default"/>
                <w:color w:val="auto"/>
                <w:lang w:val="en-US" w:eastAsia="zh-CN"/>
              </w:rPr>
            </w:pPr>
            <w:r>
              <w:rPr>
                <w:rFonts w:hint="default"/>
                <w:color w:val="auto"/>
                <w:lang w:val="en-US" w:eastAsia="zh-CN"/>
              </w:rPr>
              <w:drawing>
                <wp:inline distT="0" distB="0" distL="114300" distR="114300">
                  <wp:extent cx="3649345" cy="4867910"/>
                  <wp:effectExtent l="0" t="0" r="8255" b="8890"/>
                  <wp:docPr id="17" name="图片 17" descr="f0fa018e9fde919c2730eb7c24b63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0fa018e9fde919c2730eb7c24b635e"/>
                          <pic:cNvPicPr>
                            <a:picLocks noChangeAspect="1"/>
                          </pic:cNvPicPr>
                        </pic:nvPicPr>
                        <pic:blipFill>
                          <a:blip r:embed="rId9"/>
                          <a:stretch>
                            <a:fillRect/>
                          </a:stretch>
                        </pic:blipFill>
                        <pic:spPr>
                          <a:xfrm>
                            <a:off x="0" y="0"/>
                            <a:ext cx="3649345" cy="4867910"/>
                          </a:xfrm>
                          <a:prstGeom prst="rect">
                            <a:avLst/>
                          </a:prstGeom>
                        </pic:spPr>
                      </pic:pic>
                    </a:graphicData>
                  </a:graphic>
                </wp:inline>
              </w:drawing>
            </w:r>
          </w:p>
          <w:p>
            <w:pPr>
              <w:pStyle w:val="2"/>
              <w:rPr>
                <w:rFonts w:hint="eastAsia"/>
                <w:color w:val="auto"/>
                <w:lang w:val="en-US" w:eastAsia="zh-CN"/>
              </w:rPr>
            </w:pPr>
            <w:r>
              <w:rPr>
                <w:rFonts w:hint="eastAsia"/>
                <w:color w:val="auto"/>
                <w:lang w:val="en-US" w:eastAsia="zh-CN"/>
              </w:rPr>
              <w:t>砖砌体检验批检查记录</w:t>
            </w:r>
          </w:p>
          <w:p>
            <w:pPr>
              <w:pStyle w:val="2"/>
              <w:rPr>
                <w:rFonts w:hint="default"/>
                <w:color w:val="auto"/>
                <w:lang w:val="en-US" w:eastAsia="zh-CN"/>
              </w:rPr>
            </w:pPr>
            <w:r>
              <w:rPr>
                <w:rFonts w:hint="default"/>
                <w:color w:val="auto"/>
                <w:lang w:val="en-US" w:eastAsia="zh-CN"/>
              </w:rPr>
              <w:drawing>
                <wp:inline distT="0" distB="0" distL="114300" distR="114300">
                  <wp:extent cx="3430905" cy="4576445"/>
                  <wp:effectExtent l="0" t="0" r="17145" b="14605"/>
                  <wp:docPr id="18" name="图片 18" descr="7a68baa0f0c6e850faa6430ffe59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a68baa0f0c6e850faa6430ffe598dc"/>
                          <pic:cNvPicPr>
                            <a:picLocks noChangeAspect="1"/>
                          </pic:cNvPicPr>
                        </pic:nvPicPr>
                        <pic:blipFill>
                          <a:blip r:embed="rId10"/>
                          <a:stretch>
                            <a:fillRect/>
                          </a:stretch>
                        </pic:blipFill>
                        <pic:spPr>
                          <a:xfrm>
                            <a:off x="0" y="0"/>
                            <a:ext cx="3430905" cy="4576445"/>
                          </a:xfrm>
                          <a:prstGeom prst="rect">
                            <a:avLst/>
                          </a:prstGeom>
                        </pic:spPr>
                      </pic:pic>
                    </a:graphicData>
                  </a:graphic>
                </wp:inline>
              </w:drawing>
            </w:r>
          </w:p>
          <w:p>
            <w:pPr>
              <w:pStyle w:val="2"/>
              <w:rPr>
                <w:rFonts w:hint="eastAsia"/>
                <w:color w:val="auto"/>
                <w:lang w:val="en-US" w:eastAsia="zh-CN"/>
              </w:rPr>
            </w:pPr>
            <w:r>
              <w:rPr>
                <w:rFonts w:hint="eastAsia"/>
                <w:color w:val="auto"/>
                <w:lang w:val="en-US" w:eastAsia="zh-CN"/>
              </w:rPr>
              <w:t>铝合金门窗安装检验批记录：</w:t>
            </w:r>
          </w:p>
          <w:p>
            <w:pPr>
              <w:pStyle w:val="2"/>
              <w:rPr>
                <w:rFonts w:hint="default"/>
                <w:color w:val="auto"/>
                <w:lang w:val="en-US" w:eastAsia="zh-CN"/>
              </w:rPr>
            </w:pPr>
            <w:r>
              <w:rPr>
                <w:rFonts w:hint="default"/>
                <w:color w:val="auto"/>
                <w:lang w:val="en-US" w:eastAsia="zh-CN"/>
              </w:rPr>
              <w:drawing>
                <wp:inline distT="0" distB="0" distL="114300" distR="114300">
                  <wp:extent cx="3154045" cy="4207510"/>
                  <wp:effectExtent l="0" t="0" r="8255" b="2540"/>
                  <wp:docPr id="19" name="图片 19" descr="ff02f5d8d03edd25e001d91b02e0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f02f5d8d03edd25e001d91b02e0e76"/>
                          <pic:cNvPicPr>
                            <a:picLocks noChangeAspect="1"/>
                          </pic:cNvPicPr>
                        </pic:nvPicPr>
                        <pic:blipFill>
                          <a:blip r:embed="rId11"/>
                          <a:stretch>
                            <a:fillRect/>
                          </a:stretch>
                        </pic:blipFill>
                        <pic:spPr>
                          <a:xfrm>
                            <a:off x="0" y="0"/>
                            <a:ext cx="3154045" cy="4207510"/>
                          </a:xfrm>
                          <a:prstGeom prst="rect">
                            <a:avLst/>
                          </a:prstGeom>
                        </pic:spPr>
                      </pic:pic>
                    </a:graphicData>
                  </a:graphic>
                </wp:inline>
              </w:drawing>
            </w:r>
          </w:p>
          <w:p>
            <w:pPr>
              <w:pStyle w:val="2"/>
              <w:rPr>
                <w:rFonts w:hint="default"/>
                <w:color w:val="auto"/>
                <w:lang w:val="en-US" w:eastAsia="zh-CN"/>
              </w:rPr>
            </w:pPr>
            <w:r>
              <w:rPr>
                <w:rFonts w:hint="eastAsia"/>
                <w:color w:val="auto"/>
                <w:lang w:val="en-US" w:eastAsia="zh-CN"/>
              </w:rPr>
              <w:t>抹灰检验批记录</w:t>
            </w:r>
          </w:p>
          <w:p>
            <w:pPr>
              <w:pStyle w:val="2"/>
              <w:rPr>
                <w:rFonts w:hint="default"/>
                <w:color w:val="auto"/>
                <w:lang w:val="en-US" w:eastAsia="zh-CN"/>
              </w:rPr>
            </w:pPr>
            <w:r>
              <w:rPr>
                <w:rFonts w:hint="default"/>
                <w:color w:val="auto"/>
                <w:lang w:val="en-US" w:eastAsia="zh-CN"/>
              </w:rPr>
              <w:drawing>
                <wp:inline distT="0" distB="0" distL="114300" distR="114300">
                  <wp:extent cx="4154170" cy="5541010"/>
                  <wp:effectExtent l="0" t="0" r="17780" b="2540"/>
                  <wp:docPr id="20" name="图片 20" descr="0ae1b59f9d9a4dae6ddf24b255574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ae1b59f9d9a4dae6ddf24b255574de"/>
                          <pic:cNvPicPr>
                            <a:picLocks noChangeAspect="1"/>
                          </pic:cNvPicPr>
                        </pic:nvPicPr>
                        <pic:blipFill>
                          <a:blip r:embed="rId12"/>
                          <a:stretch>
                            <a:fillRect/>
                          </a:stretch>
                        </pic:blipFill>
                        <pic:spPr>
                          <a:xfrm>
                            <a:off x="0" y="0"/>
                            <a:ext cx="4154170" cy="5541010"/>
                          </a:xfrm>
                          <a:prstGeom prst="rect">
                            <a:avLst/>
                          </a:prstGeom>
                        </pic:spPr>
                      </pic:pic>
                    </a:graphicData>
                  </a:graphic>
                </wp:inline>
              </w:drawing>
            </w:r>
          </w:p>
          <w:p>
            <w:pPr>
              <w:pStyle w:val="2"/>
              <w:rPr>
                <w:rFonts w:hint="default"/>
                <w:color w:val="auto"/>
                <w:lang w:val="en-US" w:eastAsia="zh-CN"/>
              </w:rPr>
            </w:pPr>
            <w:r>
              <w:rPr>
                <w:rFonts w:hint="eastAsia"/>
                <w:color w:val="auto"/>
                <w:lang w:val="en-US" w:eastAsia="zh-CN"/>
              </w:rPr>
              <w:t>防雷引下线及杰闪器检验批质量检查记录</w:t>
            </w:r>
          </w:p>
          <w:p>
            <w:pPr>
              <w:pStyle w:val="2"/>
              <w:rPr>
                <w:rFonts w:hint="default"/>
                <w:color w:val="auto"/>
                <w:lang w:val="en-US" w:eastAsia="zh-CN"/>
              </w:rPr>
            </w:pPr>
            <w:r>
              <w:rPr>
                <w:rFonts w:hint="default"/>
                <w:color w:val="auto"/>
                <w:lang w:val="en-US" w:eastAsia="zh-CN"/>
              </w:rPr>
              <w:drawing>
                <wp:inline distT="0" distB="0" distL="114300" distR="114300">
                  <wp:extent cx="4154170" cy="4646295"/>
                  <wp:effectExtent l="0" t="0" r="17780" b="1905"/>
                  <wp:docPr id="21" name="图片 21" descr="41e07121e7350961432e4c4cd3ee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1e07121e7350961432e4c4cd3eef02"/>
                          <pic:cNvPicPr>
                            <a:picLocks noChangeAspect="1"/>
                          </pic:cNvPicPr>
                        </pic:nvPicPr>
                        <pic:blipFill>
                          <a:blip r:embed="rId13"/>
                          <a:stretch>
                            <a:fillRect/>
                          </a:stretch>
                        </pic:blipFill>
                        <pic:spPr>
                          <a:xfrm>
                            <a:off x="0" y="0"/>
                            <a:ext cx="4154170" cy="4646295"/>
                          </a:xfrm>
                          <a:prstGeom prst="rect">
                            <a:avLst/>
                          </a:prstGeom>
                        </pic:spPr>
                      </pic:pic>
                    </a:graphicData>
                  </a:graphic>
                </wp:inline>
              </w:drawing>
            </w:r>
          </w:p>
          <w:p>
            <w:pPr>
              <w:pStyle w:val="2"/>
              <w:rPr>
                <w:rFonts w:hint="default"/>
                <w:color w:val="auto"/>
                <w:lang w:val="en-US" w:eastAsia="zh-CN"/>
              </w:rPr>
            </w:pPr>
            <w:r>
              <w:rPr>
                <w:rFonts w:hint="eastAsia"/>
                <w:color w:val="auto"/>
                <w:lang w:val="en-US" w:eastAsia="zh-CN"/>
              </w:rPr>
              <w:t xml:space="preserve">接地极装置隐蔽验收记录   </w:t>
            </w:r>
          </w:p>
          <w:p>
            <w:pPr>
              <w:pStyle w:val="2"/>
              <w:rPr>
                <w:rFonts w:hint="eastAsia"/>
                <w:color w:val="auto"/>
                <w:lang w:val="en-US" w:eastAsia="zh-CN"/>
              </w:rPr>
            </w:pPr>
          </w:p>
          <w:p>
            <w:pPr>
              <w:pStyle w:val="2"/>
              <w:rPr>
                <w:rFonts w:hint="default"/>
                <w:color w:val="auto"/>
                <w:lang w:val="en-US" w:eastAsia="zh-CN"/>
              </w:rPr>
            </w:pPr>
            <w:r>
              <w:rPr>
                <w:rFonts w:hint="default"/>
                <w:color w:val="auto"/>
                <w:lang w:val="en-US" w:eastAsia="zh-CN"/>
              </w:rPr>
              <w:drawing>
                <wp:inline distT="0" distB="0" distL="114300" distR="114300">
                  <wp:extent cx="4154170" cy="5541010"/>
                  <wp:effectExtent l="0" t="0" r="17780" b="2540"/>
                  <wp:docPr id="22" name="图片 22" descr="a2770b170b4928d750d7eb33f893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a2770b170b4928d750d7eb33f89304a"/>
                          <pic:cNvPicPr>
                            <a:picLocks noChangeAspect="1"/>
                          </pic:cNvPicPr>
                        </pic:nvPicPr>
                        <pic:blipFill>
                          <a:blip r:embed="rId14"/>
                          <a:stretch>
                            <a:fillRect/>
                          </a:stretch>
                        </pic:blipFill>
                        <pic:spPr>
                          <a:xfrm>
                            <a:off x="0" y="0"/>
                            <a:ext cx="4154170" cy="5541010"/>
                          </a:xfrm>
                          <a:prstGeom prst="rect">
                            <a:avLst/>
                          </a:prstGeom>
                        </pic:spPr>
                      </pic:pic>
                    </a:graphicData>
                  </a:graphic>
                </wp:inline>
              </w:drawing>
            </w:r>
          </w:p>
          <w:p>
            <w:pPr>
              <w:pStyle w:val="2"/>
              <w:rPr>
                <w:rFonts w:hint="default"/>
                <w:color w:val="auto"/>
                <w:lang w:val="en-US" w:eastAsia="zh-CN"/>
              </w:rPr>
            </w:pPr>
            <w:r>
              <w:rPr>
                <w:rFonts w:hint="eastAsia"/>
                <w:color w:val="auto"/>
                <w:lang w:val="en-US" w:eastAsia="zh-CN"/>
              </w:rPr>
              <w:t xml:space="preserve">竣工联合验收  </w:t>
            </w:r>
          </w:p>
          <w:p>
            <w:pPr>
              <w:pStyle w:val="2"/>
              <w:rPr>
                <w:rFonts w:hint="default"/>
                <w:color w:val="auto"/>
                <w:lang w:val="en-US" w:eastAsia="zh-CN"/>
              </w:rPr>
            </w:pPr>
            <w:r>
              <w:rPr>
                <w:rFonts w:hint="default"/>
                <w:color w:val="auto"/>
                <w:lang w:val="en-US" w:eastAsia="zh-CN"/>
              </w:rPr>
              <w:drawing>
                <wp:inline distT="0" distB="0" distL="114300" distR="114300">
                  <wp:extent cx="4478655" cy="4604385"/>
                  <wp:effectExtent l="0" t="0" r="5715" b="17145"/>
                  <wp:docPr id="25" name="图片 25" descr="f11aaea43e937df3528abb4e27e0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11aaea43e937df3528abb4e27e01a1"/>
                          <pic:cNvPicPr>
                            <a:picLocks noChangeAspect="1"/>
                          </pic:cNvPicPr>
                        </pic:nvPicPr>
                        <pic:blipFill>
                          <a:blip r:embed="rId15"/>
                          <a:stretch>
                            <a:fillRect/>
                          </a:stretch>
                        </pic:blipFill>
                        <pic:spPr>
                          <a:xfrm rot="5400000">
                            <a:off x="0" y="0"/>
                            <a:ext cx="4478655" cy="4604385"/>
                          </a:xfrm>
                          <a:prstGeom prst="rect">
                            <a:avLst/>
                          </a:prstGeom>
                        </pic:spPr>
                      </pic:pic>
                    </a:graphicData>
                  </a:graphic>
                </wp:inline>
              </w:drawing>
            </w:r>
          </w:p>
        </w:tc>
        <w:tc>
          <w:tcPr>
            <w:tcW w:w="549" w:type="dxa"/>
          </w:tcPr>
          <w:p>
            <w:pPr>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移交期间的防护</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施工过程中的标识、可追溯性</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发包方/供方财产管理</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与建设相关方的沟通</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质量记录</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pStyle w:val="2"/>
              <w:spacing w:line="360" w:lineRule="auto"/>
              <w:rPr>
                <w:color w:val="auto"/>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变更控制</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交付与服务</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Cs/>
                <w:color w:val="auto"/>
                <w:szCs w:val="21"/>
              </w:rPr>
            </w:pPr>
          </w:p>
        </w:tc>
        <w:tc>
          <w:tcPr>
            <w:tcW w:w="1276" w:type="dxa"/>
          </w:tcPr>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J10.5.3</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Q8.5.4</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J10.5.4</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Q8.5.2</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J10.5.5</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Q8.5.3</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QES7.4</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J3.3.7</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10.5.6</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J10.5.7</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Q8.5.1</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pStyle w:val="2"/>
              <w:spacing w:line="360" w:lineRule="auto"/>
              <w:rPr>
                <w:color w:val="auto"/>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J10.6</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Q8.5.6</w:t>
            </w: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J10.7</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Q</w:t>
            </w:r>
          </w:p>
          <w:p>
            <w:pPr>
              <w:tabs>
                <w:tab w:val="left" w:pos="7380"/>
              </w:tabs>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8.5.1</w:t>
            </w:r>
          </w:p>
          <w:p>
            <w:pPr>
              <w:tabs>
                <w:tab w:val="left" w:pos="7380"/>
              </w:tabs>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Cs w:val="21"/>
              </w:rPr>
              <w:t>8.5.5</w:t>
            </w:r>
          </w:p>
        </w:tc>
        <w:tc>
          <w:tcPr>
            <w:tcW w:w="11358" w:type="dxa"/>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项目部负责工程移交期间的防护管理工作。</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项目施工过程中的防护主要有：</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1）、对材料标识、状态标识、工程进度标识等按标识和可追溯性要求进行保护 ，防止因标识错移、丢失、损坏、不清等情况造成产品混淆、错用现象的发生。</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2）、对物资的运输、搬运过程中的防护，特别是对大体积、超重量的物资，尽量一次到位，避免二次搬运，必要时搬运前应策划出具体的搬运方案。</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3）、物资的贮存防护，适宜的场所，进行妥善保管；建立帐目，并办理入出库交接手续；遵循“先进先出”的原则，物资出库后应及时登记，保证帐、物相符等。</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4）、各分部分项工程完工后的防护，针对工程特点制定防护责任制和防护方法。工序交接须包含安全防护交接。</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5）、竣工验收期保护，组织专人保护完工工程，对发生丢失、损坏记录报告并及时补救。</w:t>
            </w:r>
          </w:p>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管理手册8.5.2中对材料标识、过程产品状态标识和施工状态标识的内容、方法、管理及必要时实现产品追溯等管理做了相应的规定。</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工程部</w:t>
            </w:r>
            <w:r>
              <w:rPr>
                <w:rFonts w:hint="eastAsia" w:asciiTheme="minorEastAsia" w:hAnsiTheme="minorEastAsia" w:eastAsiaTheme="minorEastAsia" w:cstheme="minorEastAsia"/>
                <w:color w:val="auto"/>
                <w:szCs w:val="21"/>
                <w:highlight w:val="none"/>
                <w:lang w:val="en-US" w:eastAsia="zh-CN"/>
              </w:rPr>
              <w:t>部长</w:t>
            </w:r>
            <w:r>
              <w:rPr>
                <w:rFonts w:hint="eastAsia" w:asciiTheme="minorEastAsia" w:hAnsiTheme="minorEastAsia" w:eastAsiaTheme="minorEastAsia" w:cstheme="minorEastAsia"/>
                <w:color w:val="auto"/>
                <w:szCs w:val="21"/>
                <w:highlight w:val="none"/>
              </w:rPr>
              <w:t>介绍说：</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施工过程中，根据需要对施工全过程进行标识：1）材料采用标牌形式，包括顾客（甲方）提供的设备和材料，标识牌内容包括产品名称、规格、数量、施工厂家（产地）等；2）半成品、成品也应贴标签或挂牌标识；3）一般过程（工序）以工程质量记录形式进行标识；4）根据现场需要采用的其他标识，其形式可采用标签、标牌、标记、印记等。</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状态标识：根据需要对施工全过程的监视和测量状态进行标识，1）产品的检验和试验状态分为四种：分合格、不合格、待检、待定，在施工现场以标牌表示；2）部位固定的过程产品，项目部采用质量验收及质量评定表记录的方式进行标识，如检验批、分项、分部工程质量验收记录中的“合格”表明产品合格，“不符合”表明产品不符合。</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3、对有可追溯性的要求的：</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1）原材料等应进行唯一性标识，并将标识记录在进货检验记录、分项检验评定记录上；</w:t>
            </w:r>
          </w:p>
          <w:p>
            <w:pPr>
              <w:tabs>
                <w:tab w:val="left" w:pos="7380"/>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2）对关键工序、涉及安全与环保等检验批应做好施工记录，以便于追溯。确保依据产品标识记录表可追溯各类主要物资的使用部位，依据竣工文件可追溯到项目的形成过程直至最终产（成）品。</w:t>
            </w:r>
          </w:p>
          <w:p>
            <w:pPr>
              <w:tabs>
                <w:tab w:val="left" w:pos="7380"/>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管理手册8.5.3及公司的相关程序文件中对顾客或外部供方的财产管理作了相应的规定。</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公司目前涉及的顾客财产主要是甲方供应的施工图纸、施工现场附属设施以及顾客的信息。</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甲供施工图纸、项目附属设施主要由项目部管理控制，顾客的信息由工程部存档管理。</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经询查至今没有发现泄露顾客信息的情况发生。</w:t>
            </w:r>
          </w:p>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负责人讲，在施工过程中，工程服务部与项目部保持与发包方、监理方、质量监督站、安全环境监督等管理部门、周边居民、当地交通、市政等保持沟通、协商，对相关信息进行处理，并保存必要的记录。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沟通、协商的内容有：</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1）工程质量、安全、环保情况；</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2）技术复核、工程变更与洽商要求；</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3）施工过程中环境、安全投诉的处理等。</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负责人讲，甲方、监理方对项目现场的质量、环境、安全异常关注，通过网络等形式对项目现场施工情况进行监控，并随时沟通，发现问题，及时通过电话、网络进行沟通。</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体系运行以来，与建设相关方沟通畅通，无不符。</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没有对相关沟通信息进行统计整理，已口头提出。</w:t>
            </w:r>
          </w:p>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负责人讲，施工过程的质量记录有各种形式，主要有：</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1）图纸的接收、发放、会审与设计变更的有关记录；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2）施工日记；</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3）交底记录；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4）岗位资格证书；</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5）工程测量、技术复核、隐蔽工程验收记录；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6）工程材料、构配件和设备的检查验收记录；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7）施工机具与设施、检测设备的验收及管理记录；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8）施工过程检测、检查及验收记录；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9）质量问题的整改、复查记录；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10）项目质量管理策划结果规定的其他记录。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负责人讲：以上记录，基本能与施工过程同步。</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具体见在建项目部审核记录。</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工程结束后，按照相关规定，把以上质量记录整理成册，归档，交发包方、档案管等相关部门。</w:t>
            </w:r>
          </w:p>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管理手册8.5.6对工程变更的管理范围、岗位职责和工作权限等均做了相应的规定。</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w:t>
            </w:r>
            <w:r>
              <w:rPr>
                <w:rFonts w:hint="eastAsia" w:asciiTheme="minorEastAsia" w:hAnsiTheme="minorEastAsia" w:eastAsiaTheme="minorEastAsia" w:cstheme="minorEastAsia"/>
                <w:color w:val="auto"/>
                <w:szCs w:val="21"/>
                <w:highlight w:val="none"/>
                <w:lang w:eastAsia="zh-CN"/>
              </w:rPr>
              <w:t>工程部负责人</w:t>
            </w:r>
            <w:r>
              <w:rPr>
                <w:rFonts w:hint="eastAsia" w:asciiTheme="minorEastAsia" w:hAnsiTheme="minorEastAsia" w:eastAsiaTheme="minorEastAsia" w:cstheme="minorEastAsia"/>
                <w:color w:val="auto"/>
                <w:szCs w:val="21"/>
                <w:highlight w:val="none"/>
              </w:rPr>
              <w:t>交谈了解到：</w:t>
            </w:r>
          </w:p>
          <w:p>
            <w:pPr>
              <w:spacing w:line="360" w:lineRule="auto"/>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若需对项目实施过程及方法进行更改时，工程服务部在更改前组织市场经营部、综合服务室、工程服务部、技术支持部、项目部相关部门进行评审，并根据评审结果制定必要的控制措施，以确保质量偏差得到有效预防，确保项目质量能够符合设计、标准规范要求。</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并保留更改过程中所形成的记录，包括评审的结果、授权进行更改的人员以及根据评审结果所采取的控制措施。</w:t>
            </w:r>
          </w:p>
          <w:p>
            <w:pPr>
              <w:spacing w:line="360" w:lineRule="auto"/>
              <w:ind w:firstLine="420" w:firstLineChars="200"/>
              <w:jc w:val="left"/>
              <w:rPr>
                <w:rFonts w:asciiTheme="minorEastAsia" w:hAnsiTheme="minorEastAsia" w:eastAsiaTheme="minorEastAsia" w:cstheme="minorEastAsia"/>
                <w:color w:val="auto"/>
                <w:szCs w:val="21"/>
                <w:highlight w:val="yellow"/>
              </w:rPr>
            </w:pPr>
            <w:r>
              <w:rPr>
                <w:rFonts w:hint="eastAsia" w:asciiTheme="minorEastAsia" w:hAnsiTheme="minorEastAsia" w:eastAsiaTheme="minorEastAsia" w:cstheme="minorEastAsia"/>
                <w:color w:val="auto"/>
                <w:szCs w:val="21"/>
                <w:highlight w:val="none"/>
              </w:rPr>
              <w:t>具体查实见项目部该条款审核记录。</w:t>
            </w:r>
          </w:p>
          <w:p>
            <w:pPr>
              <w:autoSpaceDE w:val="0"/>
              <w:autoSpaceDN w:val="0"/>
              <w:adjustRightInd w:val="0"/>
              <w:snapToGrid w:val="0"/>
              <w:spacing w:line="360" w:lineRule="auto"/>
              <w:jc w:val="left"/>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sym w:font="Wingdings 2" w:char="F098"/>
            </w:r>
            <w:r>
              <w:rPr>
                <w:rFonts w:hint="eastAsia" w:asciiTheme="minorEastAsia" w:hAnsiTheme="minorEastAsia" w:eastAsiaTheme="minorEastAsia" w:cstheme="minorEastAsia"/>
                <w:color w:val="auto"/>
                <w:spacing w:val="6"/>
                <w:szCs w:val="21"/>
                <w:highlight w:val="none"/>
              </w:rPr>
              <w:t>管理手册中8.5.5对工程的移交和交付后的保修等服务作了规定，符合要求。</w:t>
            </w:r>
          </w:p>
          <w:p>
            <w:pPr>
              <w:autoSpaceDE w:val="0"/>
              <w:autoSpaceDN w:val="0"/>
              <w:adjustRightInd w:val="0"/>
              <w:snapToGrid w:val="0"/>
              <w:spacing w:line="360" w:lineRule="auto"/>
              <w:ind w:firstLine="444" w:firstLineChars="200"/>
              <w:jc w:val="left"/>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负责人介绍：</w:t>
            </w:r>
          </w:p>
          <w:p>
            <w:pPr>
              <w:autoSpaceDE w:val="0"/>
              <w:autoSpaceDN w:val="0"/>
              <w:adjustRightInd w:val="0"/>
              <w:snapToGrid w:val="0"/>
              <w:spacing w:line="360" w:lineRule="auto"/>
              <w:ind w:firstLine="444" w:firstLineChars="200"/>
              <w:jc w:val="left"/>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1）工程施工结束，竣工验收合格后，按合同约定进行工程交付。</w:t>
            </w:r>
          </w:p>
          <w:p>
            <w:pPr>
              <w:autoSpaceDE w:val="0"/>
              <w:autoSpaceDN w:val="0"/>
              <w:adjustRightInd w:val="0"/>
              <w:snapToGrid w:val="0"/>
              <w:spacing w:line="360" w:lineRule="auto"/>
              <w:ind w:firstLine="444" w:firstLineChars="200"/>
              <w:jc w:val="left"/>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2）对移交后的工程项目，按照合同约定进行保修和服务。</w:t>
            </w:r>
          </w:p>
          <w:p>
            <w:pPr>
              <w:autoSpaceDE w:val="0"/>
              <w:autoSpaceDN w:val="0"/>
              <w:adjustRightInd w:val="0"/>
              <w:snapToGrid w:val="0"/>
              <w:spacing w:line="360" w:lineRule="auto"/>
              <w:ind w:firstLine="444" w:firstLineChars="200"/>
              <w:jc w:val="left"/>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3）服务记录：负责人讲，体系运行以来，完工项目没有发生过质量维修记录。</w:t>
            </w:r>
          </w:p>
          <w:p>
            <w:pPr>
              <w:spacing w:line="360" w:lineRule="auto"/>
              <w:ind w:firstLine="420" w:firstLineChars="200"/>
              <w:jc w:val="left"/>
              <w:rPr>
                <w:rFonts w:asciiTheme="minorEastAsia" w:hAnsiTheme="minorEastAsia" w:eastAsiaTheme="minorEastAsia" w:cstheme="minorEastAsia"/>
                <w:color w:val="auto"/>
                <w:szCs w:val="21"/>
                <w:highlight w:val="yellow"/>
              </w:rPr>
            </w:pPr>
            <w:r>
              <w:rPr>
                <w:rFonts w:hint="eastAsia" w:asciiTheme="minorEastAsia" w:hAnsiTheme="minorEastAsia" w:eastAsiaTheme="minorEastAsia" w:cstheme="minorEastAsia"/>
                <w:color w:val="auto"/>
                <w:szCs w:val="21"/>
                <w:highlight w:val="none"/>
              </w:rPr>
              <w:t>基本符合要求。</w:t>
            </w:r>
          </w:p>
        </w:tc>
        <w:tc>
          <w:tcPr>
            <w:tcW w:w="549"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zh-CN"/>
              </w:rPr>
              <w:t>施工质量检查与验收（竣工项目）</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施工质量检查验收</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检验批验收</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分部分项验收</w:t>
            </w: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隐蔽工程验收</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竣工验收</w:t>
            </w:r>
          </w:p>
        </w:tc>
        <w:tc>
          <w:tcPr>
            <w:tcW w:w="1276" w:type="dxa"/>
          </w:tcPr>
          <w:p>
            <w:pPr>
              <w:spacing w:line="360" w:lineRule="auto"/>
              <w:ind w:right="-334" w:rightChars="-159"/>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J11.1</w:t>
            </w:r>
          </w:p>
          <w:p>
            <w:pPr>
              <w:spacing w:line="360" w:lineRule="auto"/>
              <w:ind w:right="-334" w:rightChars="-159"/>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w:t>
            </w:r>
          </w:p>
          <w:p>
            <w:pPr>
              <w:spacing w:line="360" w:lineRule="auto"/>
              <w:ind w:right="-334" w:rightChars="-159"/>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11.3</w:t>
            </w:r>
          </w:p>
          <w:p>
            <w:pPr>
              <w:spacing w:line="360" w:lineRule="auto"/>
              <w:ind w:right="-334" w:rightChars="-159"/>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Q8.1</w:t>
            </w:r>
          </w:p>
          <w:p>
            <w:pPr>
              <w:spacing w:line="360" w:lineRule="auto"/>
              <w:ind w:right="-334" w:rightChars="-159"/>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8.6</w:t>
            </w: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J8.3.2</w:t>
            </w:r>
          </w:p>
          <w:p>
            <w:pPr>
              <w:spacing w:line="360" w:lineRule="auto"/>
              <w:ind w:right="-334" w:rightChars="-159"/>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11.5</w:t>
            </w:r>
          </w:p>
          <w:p>
            <w:pPr>
              <w:spacing w:line="360" w:lineRule="auto"/>
              <w:ind w:right="-334" w:rightChars="-159"/>
              <w:rPr>
                <w:rFonts w:asciiTheme="minorEastAsia" w:hAnsiTheme="minorEastAsia" w:eastAsiaTheme="minorEastAsia" w:cstheme="minorEastAsia"/>
                <w:color w:val="auto"/>
                <w:szCs w:val="21"/>
              </w:rPr>
            </w:pPr>
          </w:p>
          <w:p>
            <w:pPr>
              <w:spacing w:line="360" w:lineRule="auto"/>
              <w:ind w:right="-334" w:rightChars="-159"/>
              <w:rPr>
                <w:rFonts w:asciiTheme="minorEastAsia" w:hAnsiTheme="minorEastAsia" w:eastAsiaTheme="minorEastAsia" w:cstheme="minorEastAsia"/>
                <w:color w:val="auto"/>
                <w:szCs w:val="21"/>
              </w:rPr>
            </w:pPr>
          </w:p>
        </w:tc>
        <w:tc>
          <w:tcPr>
            <w:tcW w:w="11358" w:type="dxa"/>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F098"/>
            </w:r>
            <w:r>
              <w:rPr>
                <w:rFonts w:hint="eastAsia" w:asciiTheme="minorEastAsia" w:hAnsiTheme="minorEastAsia" w:eastAsiaTheme="minorEastAsia" w:cstheme="minorEastAsia"/>
                <w:color w:val="auto"/>
                <w:szCs w:val="21"/>
                <w:highlight w:val="none"/>
              </w:rPr>
              <w:t>建立了施工质量检查制度，试验、检测管理制度和施工质量检查验收制度，对施工质量试验、检测、和验收进行了策划，内容符合要求。</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公司质量员均经培训，经考核符合要求后上岗。每个项目部均配备一名质量员，质量员持证上岗。</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检查依据准则包括：</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设计文件、施工图纸、合同要求、</w:t>
            </w:r>
          </w:p>
          <w:p>
            <w:pPr>
              <w:tabs>
                <w:tab w:val="left" w:pos="4772"/>
              </w:tabs>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各专项工程质量施工及验收规范、技术规程</w:t>
            </w:r>
            <w:r>
              <w:rPr>
                <w:rFonts w:hint="eastAsia" w:asciiTheme="minorEastAsia" w:hAnsiTheme="minorEastAsia" w:eastAsiaTheme="minorEastAsia" w:cstheme="minorEastAsia"/>
                <w:color w:val="auto"/>
                <w:szCs w:val="21"/>
                <w:highlight w:val="none"/>
              </w:rPr>
              <w:tab/>
            </w:r>
          </w:p>
          <w:p>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《中华人民共和国环境保护法》(国家主席令[2014]第9号)</w:t>
            </w:r>
          </w:p>
          <w:p>
            <w:pPr>
              <w:autoSpaceDE w:val="0"/>
              <w:autoSpaceDN w:val="0"/>
              <w:adjustRightIn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《中华人民共和国安全生产法》(国家主席令[2014]第13号)</w:t>
            </w:r>
          </w:p>
          <w:p>
            <w:pPr>
              <w:pStyle w:val="12"/>
              <w:spacing w:line="360" w:lineRule="auto"/>
              <w:ind w:left="400"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城乡建设部办公厅关于实施《危险性较大的分部分项工程安全管理规定》有关问题的通知(建办质【2018】  31号</w:t>
            </w:r>
          </w:p>
          <w:p>
            <w:pPr>
              <w:pStyle w:val="12"/>
              <w:spacing w:line="360" w:lineRule="auto"/>
              <w:ind w:left="400"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《危险性较大的分部分项工程安全管理规定》中华人民共和国住房和城乡建设部令第37号</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等验收标准和工艺标准及作业文件，以上规范在各专项施工方案中给予明确。</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查工程竣工验收报告：记录了工程名称、工程地点、工程性质、开工日期、竣工日期、建设单位、总包单位、监理单位、工程量及简要内容；</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验收意见：合格</w:t>
            </w:r>
          </w:p>
          <w:p>
            <w:pPr>
              <w:spacing w:line="360" w:lineRule="auto"/>
              <w:rPr>
                <w:rFonts w:asciiTheme="minorEastAsia" w:hAnsiTheme="minorEastAsia" w:eastAsiaTheme="minorEastAsia" w:cstheme="minorEastAsia"/>
                <w:color w:val="auto"/>
                <w:szCs w:val="21"/>
                <w:highlight w:val="yellow"/>
              </w:rPr>
            </w:pPr>
            <w:r>
              <w:rPr>
                <w:rFonts w:hint="eastAsia" w:asciiTheme="minorEastAsia" w:hAnsiTheme="minorEastAsia" w:eastAsiaTheme="minorEastAsia" w:cstheme="minorEastAsia"/>
                <w:color w:val="auto"/>
                <w:szCs w:val="21"/>
                <w:highlight w:val="none"/>
              </w:rPr>
              <w:t>参加人员：监理单位现场代表、总工程师、甲方单位技术负责人、施工单位项目负责人、最终客户</w:t>
            </w:r>
          </w:p>
        </w:tc>
        <w:tc>
          <w:tcPr>
            <w:tcW w:w="549"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pPr>
              <w:tabs>
                <w:tab w:val="left" w:pos="7380"/>
              </w:tabs>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质量问题与事故处理</w:t>
            </w: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tc>
        <w:tc>
          <w:tcPr>
            <w:tcW w:w="1276" w:type="dxa"/>
          </w:tcPr>
          <w:p>
            <w:pPr>
              <w:tabs>
                <w:tab w:val="left" w:pos="7380"/>
              </w:tabs>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J11.5</w:t>
            </w:r>
          </w:p>
          <w:p>
            <w:pPr>
              <w:tabs>
                <w:tab w:val="left" w:pos="7380"/>
              </w:tabs>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12.5</w:t>
            </w:r>
          </w:p>
          <w:p>
            <w:pPr>
              <w:tabs>
                <w:tab w:val="left" w:pos="7380"/>
              </w:tabs>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Q8.7</w:t>
            </w:r>
          </w:p>
          <w:p>
            <w:pPr>
              <w:tabs>
                <w:tab w:val="left" w:pos="7380"/>
              </w:tabs>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Q10.2</w:t>
            </w: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p>
            <w:pPr>
              <w:tabs>
                <w:tab w:val="left" w:pos="7380"/>
              </w:tabs>
              <w:spacing w:line="360" w:lineRule="auto"/>
              <w:rPr>
                <w:rFonts w:asciiTheme="minorEastAsia" w:hAnsiTheme="minorEastAsia" w:eastAsiaTheme="minorEastAsia" w:cstheme="minorEastAsia"/>
                <w:bCs/>
                <w:color w:val="auto"/>
                <w:szCs w:val="21"/>
              </w:rPr>
            </w:pPr>
          </w:p>
        </w:tc>
        <w:tc>
          <w:tcPr>
            <w:tcW w:w="11358" w:type="dxa"/>
          </w:tcPr>
          <w:p>
            <w:pPr>
              <w:spacing w:line="360" w:lineRule="auto"/>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sym w:font="Wingdings 2" w:char="F098"/>
            </w:r>
            <w:r>
              <w:rPr>
                <w:rFonts w:hint="eastAsia" w:asciiTheme="minorEastAsia" w:hAnsiTheme="minorEastAsia" w:eastAsiaTheme="minorEastAsia" w:cstheme="minorEastAsia"/>
                <w:bCs/>
                <w:color w:val="auto"/>
                <w:szCs w:val="21"/>
                <w:highlight w:val="none"/>
              </w:rPr>
              <w:t>建立了《不合格品控制程序》《纠正措施管理程序》《预防措施管理程序》《事件调查和不符合管理程序》等制度文件，对工序质量、工程检查验收中发现的质量、环境、安全问题，处理的职责、权限、流程等予以规定。</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1、在施工、交付的过程中，项目部日常活动中发现不合格，及时标识（可采用拍照、标签/标记、记录等的方法），必要时进行隔离，并及时采取相应的整改处理措施。</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负责人讲，项目部建立了用于交流沟通的微信、QQ群，把日常安全、环境、质量检查中发生的各种不合格拍照发在群里，给予曝光，并要求及时进行整改。</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综合服务部、工程服务部随时随机去项目现场进行质量、环境、安全检查，发现问题，采取即刻整改或限期整改，没有形成有效的追溯记录和相关责任人的追责程序，以后加强相关信息的记录和分析，已经口头交待。</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3、政府相关监督管理部门不定期对项目现场进行质量、环境和安全综合性检查，发现不合格，开具“不合格整改通知单”，限期整改。</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4、在交付或开始使用后发现产品不合格时，工程服务部负责联系顾客针对不合格产品所造成的后果或潜在的后果采取相应的措施。</w:t>
            </w:r>
          </w:p>
          <w:p>
            <w:pPr>
              <w:spacing w:line="360" w:lineRule="auto"/>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sym w:font="Wingdings 2" w:char="F098"/>
            </w:r>
            <w:r>
              <w:rPr>
                <w:rFonts w:hint="eastAsia" w:asciiTheme="minorEastAsia" w:hAnsiTheme="minorEastAsia" w:eastAsiaTheme="minorEastAsia" w:cstheme="minorEastAsia"/>
                <w:bCs/>
                <w:color w:val="auto"/>
                <w:szCs w:val="21"/>
                <w:highlight w:val="none"/>
              </w:rPr>
              <w:t>查公司策划的不符合及不合符整改表单记录有：</w:t>
            </w:r>
          </w:p>
          <w:p>
            <w:pPr>
              <w:spacing w:line="360" w:lineRule="auto"/>
              <w:ind w:firstLine="420" w:firstLineChars="200"/>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不符合整改通知、纠正/预防措施处理单、日常检查记录、纠正预防措施实施一览表等</w:t>
            </w:r>
          </w:p>
          <w:p>
            <w:pPr>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highlight w:val="none"/>
              </w:rPr>
              <w:t>不符合处理情况详见项目部审核记录。</w:t>
            </w:r>
          </w:p>
        </w:tc>
        <w:tc>
          <w:tcPr>
            <w:tcW w:w="549"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OK</w:t>
            </w:r>
          </w:p>
        </w:tc>
      </w:tr>
    </w:tbl>
    <w:p>
      <w:pPr>
        <w:spacing w:line="480" w:lineRule="exact"/>
        <w:jc w:val="both"/>
        <w:rPr>
          <w:rFonts w:hint="eastAsia" w:ascii="隶书" w:hAnsi="宋体" w:eastAsia="隶书"/>
          <w:bCs/>
          <w:color w:val="000000"/>
          <w:sz w:val="36"/>
          <w:szCs w:val="36"/>
        </w:rPr>
      </w:pPr>
    </w:p>
    <w:p>
      <w:pPr>
        <w:pStyle w:val="9"/>
        <w:rPr>
          <w:rFonts w:hint="eastAsia"/>
          <w:color w:val="FF0000"/>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UniversalMath1 BT">
    <w:altName w:val="微软雅黑"/>
    <w:panose1 w:val="05050102010205020602"/>
    <w:charset w:val="02"/>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D6ED0"/>
    <w:multiLevelType w:val="singleLevel"/>
    <w:tmpl w:val="BD2D6ED0"/>
    <w:lvl w:ilvl="0" w:tentative="0">
      <w:start w:val="5"/>
      <w:numFmt w:val="decimal"/>
      <w:suff w:val="nothing"/>
      <w:lvlText w:val="%1、"/>
      <w:lvlJc w:val="left"/>
    </w:lvl>
  </w:abstractNum>
  <w:abstractNum w:abstractNumId="1">
    <w:nsid w:val="35BBB0AE"/>
    <w:multiLevelType w:val="singleLevel"/>
    <w:tmpl w:val="35BBB0AE"/>
    <w:lvl w:ilvl="0" w:tentative="0">
      <w:start w:val="1"/>
      <w:numFmt w:val="chineseCounting"/>
      <w:suff w:val="nothing"/>
      <w:lvlText w:val="%1、"/>
      <w:lvlJc w:val="left"/>
      <w:pPr>
        <w:ind w:left="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413EA5"/>
    <w:rsid w:val="025D4824"/>
    <w:rsid w:val="030752FF"/>
    <w:rsid w:val="03433018"/>
    <w:rsid w:val="04454E38"/>
    <w:rsid w:val="06B12DFD"/>
    <w:rsid w:val="07F9333D"/>
    <w:rsid w:val="08B6610D"/>
    <w:rsid w:val="09E91723"/>
    <w:rsid w:val="0CEB7FAE"/>
    <w:rsid w:val="0D5E3C9B"/>
    <w:rsid w:val="0D7E16DC"/>
    <w:rsid w:val="108F36CF"/>
    <w:rsid w:val="146F79B0"/>
    <w:rsid w:val="14F45A91"/>
    <w:rsid w:val="16005A5A"/>
    <w:rsid w:val="165100F2"/>
    <w:rsid w:val="16F65375"/>
    <w:rsid w:val="17702FF7"/>
    <w:rsid w:val="19F95598"/>
    <w:rsid w:val="1B044E81"/>
    <w:rsid w:val="1BCE2444"/>
    <w:rsid w:val="1BFA1AB5"/>
    <w:rsid w:val="1C59092A"/>
    <w:rsid w:val="1C9E2E28"/>
    <w:rsid w:val="1D362CAD"/>
    <w:rsid w:val="1E6F4624"/>
    <w:rsid w:val="1F8B4F93"/>
    <w:rsid w:val="1FCB777C"/>
    <w:rsid w:val="24240638"/>
    <w:rsid w:val="27E51B08"/>
    <w:rsid w:val="28774126"/>
    <w:rsid w:val="293E148F"/>
    <w:rsid w:val="2B770729"/>
    <w:rsid w:val="2EF4346F"/>
    <w:rsid w:val="35C801FD"/>
    <w:rsid w:val="361D6F7A"/>
    <w:rsid w:val="36734D74"/>
    <w:rsid w:val="375F3BF6"/>
    <w:rsid w:val="39AB2061"/>
    <w:rsid w:val="4153656A"/>
    <w:rsid w:val="41844B92"/>
    <w:rsid w:val="41FE2D14"/>
    <w:rsid w:val="44001DF6"/>
    <w:rsid w:val="449A024D"/>
    <w:rsid w:val="44EB1A86"/>
    <w:rsid w:val="45653DBC"/>
    <w:rsid w:val="465D73E1"/>
    <w:rsid w:val="48E27A8D"/>
    <w:rsid w:val="48F604C8"/>
    <w:rsid w:val="49DB7908"/>
    <w:rsid w:val="4BC97408"/>
    <w:rsid w:val="4C025969"/>
    <w:rsid w:val="4D364BD3"/>
    <w:rsid w:val="4DC70785"/>
    <w:rsid w:val="504E40C6"/>
    <w:rsid w:val="51781DF4"/>
    <w:rsid w:val="51D0006C"/>
    <w:rsid w:val="54E70271"/>
    <w:rsid w:val="5521762C"/>
    <w:rsid w:val="559A748B"/>
    <w:rsid w:val="55FB00A4"/>
    <w:rsid w:val="5645192B"/>
    <w:rsid w:val="59B84710"/>
    <w:rsid w:val="5A095D11"/>
    <w:rsid w:val="5A0E58C0"/>
    <w:rsid w:val="5EBC25B1"/>
    <w:rsid w:val="61223076"/>
    <w:rsid w:val="62121FBD"/>
    <w:rsid w:val="660A4BA4"/>
    <w:rsid w:val="670A7B0C"/>
    <w:rsid w:val="6727325D"/>
    <w:rsid w:val="687A0163"/>
    <w:rsid w:val="6A9A33E8"/>
    <w:rsid w:val="6EC766F4"/>
    <w:rsid w:val="72163AA7"/>
    <w:rsid w:val="724A15EA"/>
    <w:rsid w:val="7350702A"/>
    <w:rsid w:val="73A55131"/>
    <w:rsid w:val="75E81A41"/>
    <w:rsid w:val="77207211"/>
    <w:rsid w:val="77394D2D"/>
    <w:rsid w:val="77792F75"/>
    <w:rsid w:val="79004FCD"/>
    <w:rsid w:val="7EDB2770"/>
    <w:rsid w:val="7F3B21FB"/>
    <w:rsid w:val="7FB45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line="500" w:lineRule="exact"/>
    </w:pPr>
    <w:rPr>
      <w:rFonts w:ascii="仿宋_GB2312" w:eastAsia="仿宋_GB2312"/>
      <w:spacing w:val="20"/>
      <w:sz w:val="28"/>
    </w:rPr>
  </w:style>
  <w:style w:type="paragraph" w:styleId="5">
    <w:name w:val="Body Text Indent"/>
    <w:basedOn w:val="1"/>
    <w:semiHidden/>
    <w:unhideWhenUsed/>
    <w:qFormat/>
    <w:uiPriority w:val="99"/>
    <w:pPr>
      <w:spacing w:after="120"/>
      <w:ind w:left="420" w:leftChars="200"/>
    </w:pPr>
  </w:style>
  <w:style w:type="paragraph" w:styleId="6">
    <w:name w:val="Plain Text"/>
    <w:basedOn w:val="1"/>
    <w:qFormat/>
    <w:uiPriority w:val="0"/>
    <w:rPr>
      <w:rFonts w:ascii="宋体" w:hAnsi="Courier New" w:eastAsiaTheme="minorEastAsia" w:cstheme="minorBidi"/>
    </w:rPr>
  </w:style>
  <w:style w:type="paragraph" w:styleId="7">
    <w:name w:val="Date"/>
    <w:basedOn w:val="1"/>
    <w:next w:val="1"/>
    <w:qFormat/>
    <w:uiPriority w:val="0"/>
    <w:rPr>
      <w:sz w:val="28"/>
      <w:szCs w:val="20"/>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rPr>
      <w:rFonts w:asciiTheme="minorHAnsi" w:hAnsiTheme="minorHAnsi" w:eastAsiaTheme="minorEastAsia" w:cstheme="minorBidi"/>
    </w:rPr>
  </w:style>
  <w:style w:type="paragraph" w:styleId="12">
    <w:name w:val="Body Text First Indent 2"/>
    <w:basedOn w:val="5"/>
    <w:unhideWhenUsed/>
    <w:qFormat/>
    <w:uiPriority w:val="99"/>
    <w:pPr>
      <w:ind w:firstLine="420" w:firstLineChars="200"/>
    </w:pPr>
    <w:rPr>
      <w:szCs w:val="24"/>
    </w:rPr>
  </w:style>
  <w:style w:type="character" w:customStyle="1" w:styleId="15">
    <w:name w:val="页眉 字符"/>
    <w:basedOn w:val="14"/>
    <w:link w:val="10"/>
    <w:qFormat/>
    <w:uiPriority w:val="99"/>
    <w:rPr>
      <w:rFonts w:ascii="Times New Roman" w:hAnsi="Times New Roman" w:eastAsia="宋体" w:cs="Times New Roman"/>
      <w:sz w:val="18"/>
      <w:szCs w:val="18"/>
    </w:rPr>
  </w:style>
  <w:style w:type="character" w:customStyle="1" w:styleId="16">
    <w:name w:val="页脚 字符"/>
    <w:basedOn w:val="14"/>
    <w:link w:val="9"/>
    <w:qFormat/>
    <w:uiPriority w:val="99"/>
    <w:rPr>
      <w:rFonts w:ascii="Times New Roman" w:hAnsi="Times New Roman" w:eastAsia="宋体" w:cs="Times New Roman"/>
      <w:sz w:val="18"/>
      <w:szCs w:val="18"/>
    </w:rPr>
  </w:style>
  <w:style w:type="character" w:customStyle="1" w:styleId="17">
    <w:name w:val="批注框文本 字符"/>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表内文字"/>
    <w:basedOn w:val="1"/>
    <w:uiPriority w:val="0"/>
    <w:pPr>
      <w:adjustRightInd w:val="0"/>
      <w:spacing w:line="240" w:lineRule="atLeast"/>
    </w:pPr>
    <w:rPr>
      <w:rFonts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2021-12-22T13:07:24Z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AE3298D716B142C49258D9D9835B8A6E</vt:lpwstr>
  </property>
</Properties>
</file>