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3655" cy="9113520"/>
            <wp:effectExtent l="0" t="0" r="4445" b="5080"/>
            <wp:docPr id="2" name="图片 2" descr="d0a546a0541c06da64982584cb8c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0a546a0541c06da64982584cb8c6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3655" cy="911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5" w:name="_GoBack"/>
      <w:bookmarkEnd w:id="15"/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6391910" cy="9075420"/>
            <wp:effectExtent l="0" t="0" r="8890" b="5080"/>
            <wp:docPr id="3" name="图片 3" descr="53273683a511238b5bb9151b250ca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3273683a511238b5bb9151b250cab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907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 xml:space="preserve">HACCP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初审■第(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江苏虎豹集团有限公司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胡冬余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企业2020年制定的目标为：单位产品能耗4027.52kgce/万件。2020年实际完成情况为：单位产品能耗4342.35kgce/万件，没有完成了制定的目标。没有分析原因、也没有制定节能措施。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10.1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  <w:t>RB∕T102-2013《能源管理体系 纺织企业认证要求》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企业2020年制定的目标为：单位产品能耗4027.52kgce/万件。2020年实际完成情况为：单位产品能耗4342.35kgce/万件，没有完成了制定的目标。没有分析原因、也没有制定节能措施。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对2020年超目标的原因进行分析，并制定节能措施。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snapToGrid w:val="0"/>
              <w:spacing w:line="28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相关人员对GB/T 23331-2020 idt ISO 50001:2018标准10.1条款理解不深刻。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snapToGrid w:val="0"/>
              <w:spacing w:line="28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对相关人员进行进行培训，使其理解GB/T 23331-2020 idt ISO 50001:2018标准10.1条款要求。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4B50D7"/>
    <w:rsid w:val="20685336"/>
    <w:rsid w:val="3EB2403B"/>
    <w:rsid w:val="53956EB0"/>
    <w:rsid w:val="5D306D1D"/>
    <w:rsid w:val="726356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 w:val="28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33</TotalTime>
  <ScaleCrop>false</ScaleCrop>
  <LinksUpToDate>false</LinksUpToDate>
  <CharactersWithSpaces>934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2021-11-21T07:34:36Z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2052-11.1.0.10667</vt:lpwstr>
  </property>
</Properties>
</file>